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179A4" w14:textId="77777777" w:rsidR="00866595" w:rsidRPr="006537C4" w:rsidRDefault="00866595" w:rsidP="00866595">
      <w:pPr>
        <w:pStyle w:val="ecmsonormal"/>
        <w:shd w:val="clear" w:color="auto" w:fill="FFFFFF"/>
        <w:spacing w:after="0"/>
        <w:jc w:val="center"/>
        <w:rPr>
          <w:rFonts w:ascii="Times New Roman" w:hAnsi="Times New Roman" w:cs="Times New Roman"/>
          <w:smallCaps/>
          <w:spacing w:val="-3"/>
          <w:u w:val="single"/>
          <w:lang w:val="es-AR"/>
        </w:rPr>
      </w:pPr>
    </w:p>
    <w:p w14:paraId="2A0450E3" w14:textId="3EF04870" w:rsidR="00866595" w:rsidRPr="00177E34" w:rsidRDefault="00866595" w:rsidP="00866595">
      <w:pPr>
        <w:pStyle w:val="ecmsonormal"/>
        <w:shd w:val="clear" w:color="auto" w:fill="FFFFFF"/>
        <w:tabs>
          <w:tab w:val="left" w:pos="1633"/>
          <w:tab w:val="center" w:pos="6926"/>
        </w:tabs>
        <w:spacing w:after="0"/>
        <w:jc w:val="center"/>
        <w:rPr>
          <w:rFonts w:ascii="Times New Roman" w:hAnsi="Times New Roman" w:cs="Times New Roman"/>
          <w:smallCaps/>
          <w:spacing w:val="-3"/>
          <w:u w:val="single"/>
          <w:lang w:val="es-AR"/>
        </w:rPr>
      </w:pPr>
      <w:r w:rsidRPr="00177E34">
        <w:rPr>
          <w:rFonts w:ascii="Times New Roman" w:hAnsi="Times New Roman" w:cs="Times New Roman"/>
          <w:smallCaps/>
          <w:spacing w:val="-3"/>
          <w:u w:val="single"/>
          <w:lang w:val="es-AR"/>
        </w:rPr>
        <w:t xml:space="preserve">Reunión del mes de </w:t>
      </w:r>
      <w:r w:rsidR="00706682">
        <w:rPr>
          <w:rFonts w:ascii="Times New Roman" w:hAnsi="Times New Roman" w:cs="Times New Roman"/>
          <w:smallCaps/>
          <w:spacing w:val="-3"/>
          <w:u w:val="single"/>
          <w:lang w:val="es-AR"/>
        </w:rPr>
        <w:t>agosto</w:t>
      </w:r>
      <w:r w:rsidRPr="00177E34">
        <w:rPr>
          <w:rFonts w:ascii="Times New Roman" w:hAnsi="Times New Roman" w:cs="Times New Roman"/>
          <w:smallCaps/>
          <w:spacing w:val="-3"/>
          <w:u w:val="single"/>
          <w:lang w:val="es-AR"/>
        </w:rPr>
        <w:t xml:space="preserve"> de 2026</w:t>
      </w:r>
    </w:p>
    <w:p w14:paraId="029FD2CF" w14:textId="77777777" w:rsidR="00866595" w:rsidRPr="00177E34" w:rsidRDefault="00866595" w:rsidP="00866595">
      <w:pPr>
        <w:pStyle w:val="ecmsonormal"/>
        <w:shd w:val="clear" w:color="auto" w:fill="FFFFFF"/>
        <w:tabs>
          <w:tab w:val="left" w:pos="1633"/>
          <w:tab w:val="center" w:pos="6926"/>
        </w:tabs>
        <w:spacing w:after="0"/>
        <w:jc w:val="center"/>
        <w:rPr>
          <w:rFonts w:ascii="Times New Roman" w:hAnsi="Times New Roman" w:cs="Times New Roman"/>
          <w:smallCaps/>
          <w:spacing w:val="-3"/>
          <w:u w:val="single"/>
          <w:lang w:val="es-AR"/>
        </w:rPr>
      </w:pPr>
    </w:p>
    <w:p w14:paraId="06CD5362" w14:textId="77777777" w:rsidR="00866595" w:rsidRPr="00177E34" w:rsidRDefault="00866595" w:rsidP="00866595">
      <w:pPr>
        <w:shd w:val="clear" w:color="auto" w:fill="FFFFFF"/>
        <w:jc w:val="both"/>
        <w:rPr>
          <w:rFonts w:eastAsia="Tahoma"/>
          <w:b/>
          <w:bCs/>
          <w:smallCaps/>
          <w:spacing w:val="-3"/>
          <w:lang w:val="es-AR"/>
        </w:rPr>
      </w:pPr>
    </w:p>
    <w:p w14:paraId="0E047999" w14:textId="77777777" w:rsidR="00866595" w:rsidRPr="00F51EE1" w:rsidRDefault="00866595" w:rsidP="00866595">
      <w:pPr>
        <w:shd w:val="clear" w:color="auto" w:fill="FFFFFF"/>
        <w:jc w:val="both"/>
        <w:rPr>
          <w:rFonts w:eastAsia="Tahoma"/>
          <w:smallCaps/>
          <w:spacing w:val="-3"/>
          <w:u w:val="single"/>
          <w:lang w:val="es-AR"/>
        </w:rPr>
      </w:pPr>
      <w:r w:rsidRPr="00177E34">
        <w:rPr>
          <w:rFonts w:eastAsia="Tahoma"/>
          <w:smallCaps/>
          <w:spacing w:val="-3"/>
          <w:u w:val="single"/>
          <w:lang w:val="es-AR"/>
        </w:rPr>
        <w:t>J</w:t>
      </w:r>
      <w:r w:rsidRPr="00F51EE1">
        <w:rPr>
          <w:rFonts w:eastAsia="Tahoma"/>
          <w:smallCaps/>
          <w:spacing w:val="-3"/>
          <w:u w:val="single"/>
          <w:lang w:val="es-AR"/>
        </w:rPr>
        <w:t>urisprudencia.</w:t>
      </w:r>
    </w:p>
    <w:p w14:paraId="04CE5AC5" w14:textId="77777777" w:rsidR="007B7E7A" w:rsidRPr="00F51EE1" w:rsidRDefault="007B7E7A" w:rsidP="00866595">
      <w:pPr>
        <w:shd w:val="clear" w:color="auto" w:fill="FFFFFF"/>
        <w:jc w:val="both"/>
        <w:rPr>
          <w:rFonts w:eastAsia="Tahoma"/>
          <w:smallCaps/>
          <w:spacing w:val="-3"/>
          <w:lang w:val="es-AR"/>
        </w:rPr>
      </w:pPr>
    </w:p>
    <w:p w14:paraId="58CCB967" w14:textId="7A800EC8" w:rsidR="00130B2B" w:rsidRPr="002A313D" w:rsidRDefault="00130B2B" w:rsidP="00130B2B">
      <w:pPr>
        <w:pStyle w:val="ListParagraph"/>
        <w:numPr>
          <w:ilvl w:val="0"/>
          <w:numId w:val="7"/>
        </w:numPr>
        <w:jc w:val="both"/>
      </w:pPr>
      <w:r>
        <w:t>Impuesto de Sellos.</w:t>
      </w:r>
      <w:r w:rsidR="00E05A93">
        <w:t xml:space="preserve"> Acuerdos de comercialización de vehículos automotores con las concesionarias – “solicitudes de adhesión” – formalizados por aceptación tácita. Inexistencia de “instrumento”: vulneración del precepto contenido en la Ley de Coparticipación Federal de Impuestos N° 23.548. Se hace lugar la demanda.</w:t>
      </w:r>
      <w:r>
        <w:t xml:space="preserve"> </w:t>
      </w:r>
      <w:r>
        <w:rPr>
          <w:b/>
          <w:bCs/>
        </w:rPr>
        <w:t xml:space="preserve">“Kia Argentina S.A. c/ Dirección General de Rentas de la Provincia de Corrientes s/ demanda </w:t>
      </w:r>
      <w:proofErr w:type="gramStart"/>
      <w:r>
        <w:rPr>
          <w:b/>
          <w:bCs/>
        </w:rPr>
        <w:t>contencioso administrativa</w:t>
      </w:r>
      <w:proofErr w:type="gramEnd"/>
      <w:r>
        <w:rPr>
          <w:b/>
          <w:bCs/>
        </w:rPr>
        <w:t>”, Corte Suprema de Justicia de la Nación, sentencia del 29 de mayo de 2026.</w:t>
      </w:r>
    </w:p>
    <w:p w14:paraId="437C142B" w14:textId="77777777" w:rsidR="002A313D" w:rsidRDefault="002A313D" w:rsidP="002A313D">
      <w:pPr>
        <w:pStyle w:val="ListParagraph"/>
      </w:pPr>
    </w:p>
    <w:p w14:paraId="25478312" w14:textId="0FD0E5BA" w:rsidR="002A313D" w:rsidRPr="00D907FC" w:rsidRDefault="002A313D" w:rsidP="00130B2B">
      <w:pPr>
        <w:pStyle w:val="ListParagraph"/>
        <w:numPr>
          <w:ilvl w:val="0"/>
          <w:numId w:val="7"/>
        </w:numPr>
        <w:jc w:val="both"/>
      </w:pPr>
      <w:r>
        <w:t>Impuesto sobre los Ingresos Brutos.</w:t>
      </w:r>
      <w:r w:rsidR="00C71425">
        <w:t xml:space="preserve"> Alícuotas diferenciales. Admisión parcial de la acción. No admitido pedido de inconstitucionalidad </w:t>
      </w:r>
      <w:r w:rsidR="00C71425" w:rsidRPr="00012A42">
        <w:t>a las leyes 13.850, 13.930, 14.044, 14.200, 14.333 y 14.394</w:t>
      </w:r>
      <w:r w:rsidR="00C71425">
        <w:t xml:space="preserve"> por cuanto “</w:t>
      </w:r>
      <w:r w:rsidR="00C71425" w:rsidRPr="00012A42">
        <w:t>no surge de la demanda —ni de su ampliación— que la actora persiga repetir en esta causa el pago de las sumas referidas</w:t>
      </w:r>
      <w:r w:rsidR="009D0D80">
        <w:t>”.</w:t>
      </w:r>
      <w:r>
        <w:t xml:space="preserve"> </w:t>
      </w:r>
      <w:r>
        <w:rPr>
          <w:b/>
          <w:bCs/>
        </w:rPr>
        <w:t>“</w:t>
      </w:r>
      <w:r w:rsidRPr="00012A42">
        <w:rPr>
          <w:b/>
          <w:bCs/>
        </w:rPr>
        <w:t>Aluar Aluminio Argentino S.A.I.C c. Provincia de Buenos Aires s/ acción declarativa de inconstitucionalidad</w:t>
      </w:r>
      <w:r>
        <w:rPr>
          <w:b/>
          <w:bCs/>
        </w:rPr>
        <w:t>”, Corte Suprema de Justicia de la Nación, sentencia del 23 de abril de 2026.</w:t>
      </w:r>
    </w:p>
    <w:p w14:paraId="09C643A9" w14:textId="77777777" w:rsidR="00D907FC" w:rsidRDefault="00D907FC" w:rsidP="00D907FC">
      <w:pPr>
        <w:pStyle w:val="ListParagraph"/>
      </w:pPr>
    </w:p>
    <w:p w14:paraId="280CAFF0" w14:textId="2A565901" w:rsidR="00D907FC" w:rsidRPr="00F51EE1" w:rsidRDefault="0090316E" w:rsidP="00130B2B">
      <w:pPr>
        <w:pStyle w:val="ListParagraph"/>
        <w:numPr>
          <w:ilvl w:val="0"/>
          <w:numId w:val="7"/>
        </w:numPr>
        <w:jc w:val="both"/>
      </w:pPr>
      <w:r>
        <w:t xml:space="preserve">Impuesto sobre los Ingresos Brutos. </w:t>
      </w:r>
      <w:r w:rsidR="00DE3D92">
        <w:t xml:space="preserve">Alícuotas diferenciales. </w:t>
      </w:r>
      <w:r>
        <w:t xml:space="preserve">Excepción de cosa juzgada. </w:t>
      </w:r>
      <w:r w:rsidR="00DE3D92">
        <w:t>L</w:t>
      </w:r>
      <w:r w:rsidR="00DE3D92" w:rsidRPr="00DE3D92">
        <w:t>a procedencia de la pretensión fiscal bonaerense respecto del impuesto sobre los ingresos brutos por la actividad de transporte interjurisdiccional había sido discutida también en el incidente de revisión promovido por la Provincia dentro del concurso preventivo de Transportes Atlántida.</w:t>
      </w:r>
      <w:r w:rsidR="005A77E6" w:rsidRPr="005A77E6">
        <w:rPr>
          <w:rFonts w:ascii="Segoe UI" w:hAnsi="Segoe UI" w:cs="Segoe UI"/>
          <w:color w:val="212529"/>
          <w:sz w:val="30"/>
          <w:szCs w:val="30"/>
          <w:shd w:val="clear" w:color="auto" w:fill="FFFFFF"/>
        </w:rPr>
        <w:t xml:space="preserve"> </w:t>
      </w:r>
      <w:r w:rsidR="005A77E6" w:rsidRPr="005A77E6">
        <w:rPr>
          <w:b/>
          <w:bCs/>
        </w:rPr>
        <w:t>“Transportes Atlántida S.A.C. c/ Buenos Aires, Provincia de s/ acción declarativa”</w:t>
      </w:r>
      <w:r w:rsidR="005A77E6">
        <w:rPr>
          <w:b/>
          <w:bCs/>
        </w:rPr>
        <w:t xml:space="preserve">, </w:t>
      </w:r>
      <w:r w:rsidR="00A56D46">
        <w:rPr>
          <w:b/>
          <w:bCs/>
        </w:rPr>
        <w:t xml:space="preserve">Corte Suprema de Justicia de la Nación, sentencia del </w:t>
      </w:r>
      <w:r w:rsidR="005A77E6">
        <w:rPr>
          <w:b/>
          <w:bCs/>
        </w:rPr>
        <w:t xml:space="preserve">6 de agosto de </w:t>
      </w:r>
      <w:r w:rsidR="00A56D46">
        <w:rPr>
          <w:b/>
          <w:bCs/>
        </w:rPr>
        <w:t>2026.</w:t>
      </w:r>
    </w:p>
    <w:p w14:paraId="4B871F99" w14:textId="77777777" w:rsidR="00F51EE1" w:rsidRPr="00F51EE1" w:rsidRDefault="00F51EE1" w:rsidP="00F51EE1">
      <w:pPr>
        <w:pStyle w:val="ListParagraph"/>
        <w:jc w:val="both"/>
      </w:pPr>
    </w:p>
    <w:p w14:paraId="05C2E93E" w14:textId="003C8D38" w:rsidR="00001E84" w:rsidRPr="00001E84" w:rsidRDefault="007B7E7A" w:rsidP="00001E84">
      <w:pPr>
        <w:pStyle w:val="ListParagraph"/>
        <w:numPr>
          <w:ilvl w:val="0"/>
          <w:numId w:val="7"/>
        </w:numPr>
        <w:jc w:val="both"/>
        <w:rPr>
          <w:b/>
          <w:bCs/>
        </w:rPr>
      </w:pPr>
      <w:r w:rsidRPr="00F51EE1">
        <w:rPr>
          <w:lang w:val="es-AR"/>
        </w:rPr>
        <w:t>T</w:t>
      </w:r>
      <w:r w:rsidR="00B46DF8" w:rsidRPr="00F51EE1">
        <w:rPr>
          <w:lang w:val="es-AR"/>
        </w:rPr>
        <w:t>as</w:t>
      </w:r>
      <w:r w:rsidR="00FF413D" w:rsidRPr="00F51EE1">
        <w:rPr>
          <w:lang w:val="es-AR"/>
        </w:rPr>
        <w:t>as</w:t>
      </w:r>
      <w:r w:rsidR="00B46DF8" w:rsidRPr="00F51EE1">
        <w:rPr>
          <w:lang w:val="es-AR"/>
        </w:rPr>
        <w:t>.</w:t>
      </w:r>
      <w:r w:rsidR="00FF413D" w:rsidRPr="00F51EE1">
        <w:rPr>
          <w:lang w:val="es-AR"/>
        </w:rPr>
        <w:t xml:space="preserve"> Tasa por Servicio Inspección de Seguridad e Higiene.  Recurso deducido contra la sentencia de primera instancia que no hizo lugar a la pretensión anulatoria de la actora. Requisito de concreta, efectiva e individualizada presta</w:t>
      </w:r>
      <w:r w:rsidR="00FF413D">
        <w:rPr>
          <w:lang w:val="es-AR"/>
        </w:rPr>
        <w:t xml:space="preserve">ción del servicio: con remisión al fallo “Automóvil Club Argentino” se analiza la expresión “periodicidad razonable” dado que solo se acredita una única intervención municipal durante los dos años objeto de la causa. Se considera suficiente para cumplir el requisito. En cuanto al agravio de supuesta extralimitación territorial producto de aplicar el tercer párrafo del artículo 35 del CM, se rechaza con cita del fallo “Esso”. </w:t>
      </w:r>
      <w:r>
        <w:rPr>
          <w:lang w:val="es-AR"/>
        </w:rPr>
        <w:t xml:space="preserve">Respecto </w:t>
      </w:r>
      <w:r w:rsidR="00FF413D">
        <w:rPr>
          <w:lang w:val="es-AR"/>
        </w:rPr>
        <w:t xml:space="preserve">a la ausencia de proporcionalidad e </w:t>
      </w:r>
      <w:proofErr w:type="spellStart"/>
      <w:r w:rsidR="00FF413D">
        <w:rPr>
          <w:lang w:val="es-AR"/>
        </w:rPr>
        <w:t>irrazonabilidad</w:t>
      </w:r>
      <w:proofErr w:type="spellEnd"/>
      <w:r w:rsidR="00FF413D">
        <w:rPr>
          <w:lang w:val="es-AR"/>
        </w:rPr>
        <w:t xml:space="preserve"> de la TISH se rechaza por deficiencias probatorias.</w:t>
      </w:r>
      <w:r w:rsidR="00B46DF8" w:rsidRPr="00ED7DD6">
        <w:rPr>
          <w:b/>
          <w:bCs/>
          <w:lang w:val="es-AR"/>
        </w:rPr>
        <w:t xml:space="preserve"> </w:t>
      </w:r>
      <w:r w:rsidR="003B5BF4" w:rsidRPr="00ED7DD6">
        <w:rPr>
          <w:b/>
          <w:bCs/>
        </w:rPr>
        <w:t>“</w:t>
      </w:r>
      <w:r w:rsidR="00ED7DD6" w:rsidRPr="00ED7DD6">
        <w:rPr>
          <w:b/>
          <w:bCs/>
          <w:lang w:eastAsia="es-AR"/>
        </w:rPr>
        <w:t>ATANOR S.C.A. c/ Municipalidad de Vicente López s/ pretensión anulatoria</w:t>
      </w:r>
      <w:r w:rsidR="003B5BF4" w:rsidRPr="00ED7DD6">
        <w:rPr>
          <w:b/>
          <w:bCs/>
        </w:rPr>
        <w:t xml:space="preserve">”, </w:t>
      </w:r>
      <w:r w:rsidR="00ED7DD6">
        <w:rPr>
          <w:b/>
          <w:bCs/>
        </w:rPr>
        <w:t xml:space="preserve">Cámara de Apelación en lo Contencioso Administrativo – San Martín, </w:t>
      </w:r>
      <w:r w:rsidR="003B5BF4" w:rsidRPr="00ED7DD6">
        <w:rPr>
          <w:b/>
          <w:bCs/>
        </w:rPr>
        <w:t>Prov. de Buenos Aires, sentencia del 2</w:t>
      </w:r>
      <w:r w:rsidR="00ED7DD6">
        <w:rPr>
          <w:b/>
          <w:bCs/>
        </w:rPr>
        <w:t>8</w:t>
      </w:r>
      <w:r w:rsidR="003B5BF4" w:rsidRPr="00ED7DD6">
        <w:rPr>
          <w:b/>
          <w:bCs/>
        </w:rPr>
        <w:t xml:space="preserve"> de mayo de 2026</w:t>
      </w:r>
      <w:r w:rsidR="00001E84">
        <w:rPr>
          <w:b/>
          <w:bCs/>
        </w:rPr>
        <w:t xml:space="preserve">. </w:t>
      </w:r>
    </w:p>
    <w:p w14:paraId="463321BA" w14:textId="77777777" w:rsidR="00001E84" w:rsidRPr="00001E84" w:rsidRDefault="00001E84" w:rsidP="00001E84">
      <w:pPr>
        <w:pStyle w:val="ListParagraph"/>
        <w:rPr>
          <w:b/>
          <w:bCs/>
        </w:rPr>
      </w:pPr>
    </w:p>
    <w:p w14:paraId="414F5DB0" w14:textId="246F9780" w:rsidR="007B7E7A" w:rsidRPr="004E27B3" w:rsidRDefault="007B7E7A" w:rsidP="007B7E7A">
      <w:pPr>
        <w:pStyle w:val="ListParagraph"/>
        <w:numPr>
          <w:ilvl w:val="0"/>
          <w:numId w:val="7"/>
        </w:numPr>
        <w:jc w:val="both"/>
      </w:pPr>
      <w:r w:rsidRPr="00FF413D">
        <w:rPr>
          <w:lang w:val="es-AR"/>
        </w:rPr>
        <w:t>Tasas. Tasa por Servicio Inspección de Seguridad e Higiene.  Recurso deducido</w:t>
      </w:r>
      <w:r>
        <w:rPr>
          <w:lang w:val="es-AR"/>
        </w:rPr>
        <w:t xml:space="preserve"> por ambas partes</w:t>
      </w:r>
      <w:r w:rsidRPr="00FF413D">
        <w:rPr>
          <w:lang w:val="es-AR"/>
        </w:rPr>
        <w:t xml:space="preserve"> </w:t>
      </w:r>
      <w:r>
        <w:rPr>
          <w:lang w:val="es-AR"/>
        </w:rPr>
        <w:t>contra la sentencia de primera instancia que</w:t>
      </w:r>
      <w:r w:rsidR="009E2BCA">
        <w:rPr>
          <w:lang w:val="es-AR"/>
        </w:rPr>
        <w:t xml:space="preserve"> hizo</w:t>
      </w:r>
      <w:r>
        <w:rPr>
          <w:lang w:val="es-AR"/>
        </w:rPr>
        <w:t xml:space="preserve"> lugar parcialmente a la pretensión anulatoria de la actora. Los agravios de la demandada se </w:t>
      </w:r>
      <w:r w:rsidR="00027BC4">
        <w:rPr>
          <w:lang w:val="es-AR"/>
        </w:rPr>
        <w:t>dirigieron</w:t>
      </w:r>
      <w:r>
        <w:rPr>
          <w:lang w:val="es-AR"/>
        </w:rPr>
        <w:t xml:space="preserve"> con</w:t>
      </w:r>
      <w:r w:rsidR="00027BC4">
        <w:rPr>
          <w:lang w:val="es-AR"/>
        </w:rPr>
        <w:t>tra</w:t>
      </w:r>
      <w:r>
        <w:rPr>
          <w:lang w:val="es-AR"/>
        </w:rPr>
        <w:t xml:space="preserve"> la “declaración de prescripción” de los períodos de 2008 a 2012, sin </w:t>
      </w:r>
      <w:proofErr w:type="gramStart"/>
      <w:r>
        <w:rPr>
          <w:lang w:val="es-AR"/>
        </w:rPr>
        <w:t>embargo</w:t>
      </w:r>
      <w:proofErr w:type="gramEnd"/>
      <w:r>
        <w:rPr>
          <w:lang w:val="es-AR"/>
        </w:rPr>
        <w:t xml:space="preserve"> la sentencia se fundó en las resoluciones favorables a Atanor </w:t>
      </w:r>
      <w:r>
        <w:rPr>
          <w:lang w:val="es-AR"/>
        </w:rPr>
        <w:lastRenderedPageBreak/>
        <w:t xml:space="preserve">en CA y CP, por lo </w:t>
      </w:r>
      <w:proofErr w:type="gramStart"/>
      <w:r>
        <w:rPr>
          <w:lang w:val="es-AR"/>
        </w:rPr>
        <w:t>tanto</w:t>
      </w:r>
      <w:proofErr w:type="gramEnd"/>
      <w:r>
        <w:rPr>
          <w:lang w:val="es-AR"/>
        </w:rPr>
        <w:t xml:space="preserve"> se </w:t>
      </w:r>
      <w:proofErr w:type="gramStart"/>
      <w:r>
        <w:rPr>
          <w:lang w:val="es-AR"/>
        </w:rPr>
        <w:t>considera  que</w:t>
      </w:r>
      <w:proofErr w:type="gramEnd"/>
      <w:r>
        <w:rPr>
          <w:lang w:val="es-AR"/>
        </w:rPr>
        <w:t xml:space="preserve"> el recurso del Municipio no constituye crítica razonada de la sentencia y resulta desestimado. En cuanto a la parte actora esta lo funda </w:t>
      </w:r>
      <w:proofErr w:type="gramStart"/>
      <w:r>
        <w:rPr>
          <w:lang w:val="es-AR"/>
        </w:rPr>
        <w:t xml:space="preserve">en </w:t>
      </w:r>
      <w:r w:rsidR="00B668DB">
        <w:rPr>
          <w:lang w:val="es-AR"/>
        </w:rPr>
        <w:t xml:space="preserve"> falta</w:t>
      </w:r>
      <w:proofErr w:type="gramEnd"/>
      <w:r w:rsidR="00B668DB">
        <w:rPr>
          <w:lang w:val="es-AR"/>
        </w:rPr>
        <w:t xml:space="preserve"> de cumplimiento d</w:t>
      </w:r>
      <w:r>
        <w:rPr>
          <w:lang w:val="es-AR"/>
        </w:rPr>
        <w:t>el requisito de concreta, efectiva e individualizada prestación del servicio: con remisión a los fallos “Automóvil Club Argentino” y “</w:t>
      </w:r>
      <w:proofErr w:type="spellStart"/>
      <w:r>
        <w:rPr>
          <w:lang w:val="es-AR"/>
        </w:rPr>
        <w:t>Capaccioni</w:t>
      </w:r>
      <w:proofErr w:type="spellEnd"/>
      <w:r>
        <w:rPr>
          <w:lang w:val="es-AR"/>
        </w:rPr>
        <w:t xml:space="preserve">” se analiza la expresión “periodicidad razonable” y dado que no existen constancias de actividad estatal se admite el agravio. Se cita la causa homónima y se establece la diferencia que permite una solución distinta. </w:t>
      </w:r>
      <w:r w:rsidR="00EC538C">
        <w:rPr>
          <w:lang w:val="es-AR"/>
        </w:rPr>
        <w:t>Respecto a la devolución de las suma</w:t>
      </w:r>
      <w:r w:rsidR="00927743">
        <w:rPr>
          <w:lang w:val="es-AR"/>
        </w:rPr>
        <w:t>s</w:t>
      </w:r>
      <w:r w:rsidR="00EC538C">
        <w:rPr>
          <w:lang w:val="es-AR"/>
        </w:rPr>
        <w:t xml:space="preserve"> erogada</w:t>
      </w:r>
      <w:r w:rsidR="00927743">
        <w:rPr>
          <w:lang w:val="es-AR"/>
        </w:rPr>
        <w:t>s</w:t>
      </w:r>
      <w:r w:rsidR="00EC538C">
        <w:rPr>
          <w:lang w:val="es-AR"/>
        </w:rPr>
        <w:t xml:space="preserve"> por aplicación del “</w:t>
      </w:r>
      <w:proofErr w:type="spellStart"/>
      <w:r w:rsidR="00EC538C">
        <w:rPr>
          <w:lang w:val="es-AR"/>
        </w:rPr>
        <w:t>solve</w:t>
      </w:r>
      <w:proofErr w:type="spellEnd"/>
      <w:r w:rsidR="00EC538C">
        <w:rPr>
          <w:lang w:val="es-AR"/>
        </w:rPr>
        <w:t xml:space="preserve"> et repete” afirma que es de aplicación la </w:t>
      </w:r>
      <w:r w:rsidR="00927743">
        <w:rPr>
          <w:lang w:val="es-AR"/>
        </w:rPr>
        <w:t>tasa</w:t>
      </w:r>
      <w:r w:rsidR="00EC538C">
        <w:rPr>
          <w:lang w:val="es-AR"/>
        </w:rPr>
        <w:t xml:space="preserve"> de plazo fijo del Banco Provincia con cita </w:t>
      </w:r>
      <w:proofErr w:type="gramStart"/>
      <w:r w:rsidR="00EC538C">
        <w:rPr>
          <w:lang w:val="es-AR"/>
        </w:rPr>
        <w:t>de  fallos</w:t>
      </w:r>
      <w:proofErr w:type="gramEnd"/>
      <w:r w:rsidR="00EC538C">
        <w:rPr>
          <w:lang w:val="es-AR"/>
        </w:rPr>
        <w:t xml:space="preserve"> de la Suprema Corte de la Provincia</w:t>
      </w:r>
      <w:r>
        <w:rPr>
          <w:lang w:val="es-AR"/>
        </w:rPr>
        <w:t>.</w:t>
      </w:r>
      <w:r w:rsidRPr="00ED7DD6">
        <w:rPr>
          <w:b/>
          <w:bCs/>
          <w:lang w:val="es-AR"/>
        </w:rPr>
        <w:t xml:space="preserve"> </w:t>
      </w:r>
      <w:r w:rsidRPr="00ED7DD6">
        <w:rPr>
          <w:b/>
          <w:bCs/>
        </w:rPr>
        <w:t>“</w:t>
      </w:r>
      <w:r w:rsidRPr="00ED7DD6">
        <w:rPr>
          <w:b/>
          <w:bCs/>
          <w:lang w:eastAsia="es-AR"/>
        </w:rPr>
        <w:t>ATANOR S.C.A. c/ Municipalidad de Vicente López s/ pretensión anulatoria</w:t>
      </w:r>
      <w:r w:rsidRPr="00ED7DD6">
        <w:rPr>
          <w:b/>
          <w:bCs/>
        </w:rPr>
        <w:t xml:space="preserve">”, </w:t>
      </w:r>
      <w:r>
        <w:rPr>
          <w:b/>
          <w:bCs/>
        </w:rPr>
        <w:t xml:space="preserve">Cámara de Apelación en lo Contencioso Administrativo – San Martín, </w:t>
      </w:r>
      <w:r w:rsidRPr="00ED7DD6">
        <w:rPr>
          <w:b/>
          <w:bCs/>
        </w:rPr>
        <w:t xml:space="preserve">Prov. de Buenos Aires, sentencia del </w:t>
      </w:r>
      <w:r>
        <w:rPr>
          <w:b/>
          <w:bCs/>
        </w:rPr>
        <w:t>30</w:t>
      </w:r>
      <w:r w:rsidRPr="00ED7DD6">
        <w:rPr>
          <w:b/>
          <w:bCs/>
        </w:rPr>
        <w:t xml:space="preserve"> de </w:t>
      </w:r>
      <w:r>
        <w:rPr>
          <w:b/>
          <w:bCs/>
        </w:rPr>
        <w:t>junio</w:t>
      </w:r>
      <w:r w:rsidRPr="00ED7DD6">
        <w:rPr>
          <w:b/>
          <w:bCs/>
        </w:rPr>
        <w:t xml:space="preserve"> de 2026.</w:t>
      </w:r>
    </w:p>
    <w:p w14:paraId="2E1E1FFC" w14:textId="77777777" w:rsidR="004E27B3" w:rsidRDefault="004E27B3" w:rsidP="004E27B3">
      <w:pPr>
        <w:jc w:val="both"/>
      </w:pPr>
    </w:p>
    <w:p w14:paraId="4A6B6895" w14:textId="77777777" w:rsidR="00803D6D" w:rsidRDefault="004E27B3" w:rsidP="004E27B3">
      <w:pPr>
        <w:pStyle w:val="ListParagraph"/>
        <w:numPr>
          <w:ilvl w:val="0"/>
          <w:numId w:val="7"/>
        </w:numPr>
        <w:jc w:val="both"/>
        <w:rPr>
          <w:b/>
          <w:bCs/>
        </w:rPr>
      </w:pPr>
      <w:r>
        <w:t>Tasa</w:t>
      </w:r>
      <w:r w:rsidR="00F1019C">
        <w:t xml:space="preserve"> de Seguridad e Higiene. </w:t>
      </w:r>
      <w:r w:rsidR="00F75AD7">
        <w:t>Tope del primer párrafo del artículo 35 del Convenio Multilateral.  Prueba prestación de servicios</w:t>
      </w:r>
      <w:r>
        <w:t xml:space="preserve"> </w:t>
      </w:r>
      <w:r>
        <w:rPr>
          <w:b/>
          <w:bCs/>
        </w:rPr>
        <w:t>“Gabor S.A. c/ Municipalidad de Moreno s/ pretensión anulatoria”, Cámara de Apelación en lo Contencioso Administrativo – San Martín, Provincia de Buenos Aires, sentencia del 23 de junio de 2026</w:t>
      </w:r>
      <w:r w:rsidR="00803D6D">
        <w:rPr>
          <w:b/>
          <w:bCs/>
        </w:rPr>
        <w:t>.</w:t>
      </w:r>
    </w:p>
    <w:p w14:paraId="1598045B" w14:textId="77777777" w:rsidR="00803D6D" w:rsidRPr="00803D6D" w:rsidRDefault="00803D6D" w:rsidP="00803D6D">
      <w:pPr>
        <w:pStyle w:val="ListParagraph"/>
        <w:rPr>
          <w:b/>
          <w:bCs/>
        </w:rPr>
      </w:pPr>
    </w:p>
    <w:p w14:paraId="5D832984" w14:textId="675DD5F1" w:rsidR="004E27B3" w:rsidRPr="0094708E" w:rsidRDefault="00EB580F" w:rsidP="004E27B3">
      <w:pPr>
        <w:pStyle w:val="ListParagraph"/>
        <w:numPr>
          <w:ilvl w:val="0"/>
          <w:numId w:val="7"/>
        </w:numPr>
        <w:jc w:val="both"/>
        <w:rPr>
          <w:b/>
          <w:bCs/>
        </w:rPr>
      </w:pPr>
      <w:r>
        <w:t>Impuesto sobre los Ingresos Brutos</w:t>
      </w:r>
      <w:r w:rsidR="004E27B3">
        <w:rPr>
          <w:b/>
          <w:bCs/>
        </w:rPr>
        <w:t>.</w:t>
      </w:r>
      <w:r w:rsidR="0094708E">
        <w:rPr>
          <w:b/>
          <w:bCs/>
        </w:rPr>
        <w:t xml:space="preserve"> </w:t>
      </w:r>
      <w:r>
        <w:t xml:space="preserve">Entidades sin fines de Lucro. </w:t>
      </w:r>
      <w:r>
        <w:rPr>
          <w:b/>
          <w:bCs/>
        </w:rPr>
        <w:t>“H</w:t>
      </w:r>
      <w:r w:rsidR="008762BF">
        <w:rPr>
          <w:b/>
          <w:bCs/>
        </w:rPr>
        <w:t>udson Vial Coop. De Trabajo LTDA c/ARBA s/</w:t>
      </w:r>
      <w:proofErr w:type="spellStart"/>
      <w:r w:rsidR="004C0AAE">
        <w:rPr>
          <w:b/>
          <w:bCs/>
        </w:rPr>
        <w:t>PRetensiómn</w:t>
      </w:r>
      <w:proofErr w:type="spellEnd"/>
      <w:r w:rsidR="004C0AAE">
        <w:rPr>
          <w:b/>
          <w:bCs/>
        </w:rPr>
        <w:t xml:space="preserve"> Anulatoria – Otros Juicios</w:t>
      </w:r>
      <w:r w:rsidR="00BA380B">
        <w:rPr>
          <w:b/>
          <w:bCs/>
        </w:rPr>
        <w:t>”, Cámara de Apelaciones en lo Contencioso Administrativo – La Plata, Provincia de Buenos Aires</w:t>
      </w:r>
      <w:r w:rsidR="00953C5A">
        <w:rPr>
          <w:b/>
          <w:bCs/>
        </w:rPr>
        <w:t>, sentencia del 4 de agosto de 2026.</w:t>
      </w:r>
    </w:p>
    <w:p w14:paraId="31BDD1A1" w14:textId="77777777" w:rsidR="0094708E" w:rsidRDefault="0094708E" w:rsidP="0094708E">
      <w:pPr>
        <w:pStyle w:val="ListParagraph"/>
        <w:rPr>
          <w:b/>
          <w:bCs/>
        </w:rPr>
      </w:pPr>
    </w:p>
    <w:p w14:paraId="5476B291" w14:textId="431D184D" w:rsidR="0068091C" w:rsidRDefault="0068091C" w:rsidP="0068091C">
      <w:pPr>
        <w:pStyle w:val="ListParagraph"/>
        <w:numPr>
          <w:ilvl w:val="0"/>
          <w:numId w:val="7"/>
        </w:numPr>
        <w:jc w:val="both"/>
      </w:pPr>
      <w:r>
        <w:t xml:space="preserve">Impuesto sobre los Ingresos Brutos. Reclamo de repetición de sumas abonadas en el marco de un juicio de apremio iniciado a partir de la aplicación del régimen de pago provisorio de impuestos vencidos. Improcedencia de iniciar el reclamo en sede administrativa por constituir un “ritualismo inútil”: se deja sin efecto haciéndose lugar a la pretensión de la demandada. Distinción entre la “repetición” y la “devolución”; no contemplada en el CF a diferencia de la Ley Nacional N° 11.683. </w:t>
      </w:r>
      <w:r>
        <w:rPr>
          <w:b/>
          <w:bCs/>
        </w:rPr>
        <w:t>“GCBA s/ queja por recurso de inconstitucionalidad denegad</w:t>
      </w:r>
      <w:r w:rsidR="00D82E5E">
        <w:rPr>
          <w:b/>
          <w:bCs/>
        </w:rPr>
        <w:t>o</w:t>
      </w:r>
      <w:r>
        <w:rPr>
          <w:b/>
          <w:bCs/>
        </w:rPr>
        <w:t xml:space="preserve"> en Laboratorios Mar SA c/ GCBA s/ repetición (art. 457 </w:t>
      </w:r>
      <w:proofErr w:type="spellStart"/>
      <w:r>
        <w:rPr>
          <w:b/>
          <w:bCs/>
        </w:rPr>
        <w:t>CCAyT</w:t>
      </w:r>
      <w:proofErr w:type="spellEnd"/>
      <w:r>
        <w:rPr>
          <w:b/>
          <w:bCs/>
        </w:rPr>
        <w:t>)”, Superior Tribunal de Justicia de la Ciudad Autónoma de Buenos Aires, sentencia del 17 de junio de 2026</w:t>
      </w:r>
      <w:r w:rsidR="00D82E5E">
        <w:rPr>
          <w:b/>
          <w:bCs/>
        </w:rPr>
        <w:t xml:space="preserve">. </w:t>
      </w:r>
    </w:p>
    <w:p w14:paraId="31351126" w14:textId="77777777" w:rsidR="00D82E5E" w:rsidRDefault="00D82E5E" w:rsidP="00D82E5E">
      <w:pPr>
        <w:pStyle w:val="ListParagraph"/>
      </w:pPr>
    </w:p>
    <w:p w14:paraId="257C6B82" w14:textId="0B707AE4" w:rsidR="00D82E5E" w:rsidRPr="005B2835" w:rsidRDefault="00D82E5E" w:rsidP="0068091C">
      <w:pPr>
        <w:pStyle w:val="ListParagraph"/>
        <w:numPr>
          <w:ilvl w:val="0"/>
          <w:numId w:val="7"/>
        </w:numPr>
        <w:jc w:val="both"/>
      </w:pPr>
      <w:r>
        <w:t>Gravámenes por el uso</w:t>
      </w:r>
      <w:r w:rsidR="005B2835">
        <w:t xml:space="preserve"> y ocupación </w:t>
      </w:r>
      <w:r>
        <w:t>de la superficie, el espacio aéreo y</w:t>
      </w:r>
      <w:r w:rsidR="005B2835">
        <w:t xml:space="preserve"> e</w:t>
      </w:r>
      <w:r>
        <w:t>l</w:t>
      </w:r>
      <w:r w:rsidR="005B2835">
        <w:t xml:space="preserve"> subsuelo de la vía pública”</w:t>
      </w:r>
      <w:r>
        <w:t>.</w:t>
      </w:r>
      <w:r w:rsidR="005B2835">
        <w:t xml:space="preserve"> Juicio de ejecución: excepción por inhabilidad de título fundada en manifiesta inexistencia de deuda. Recepción de la doctrina recaída en el fallo “NSS c/ GCBA” de la CSJN: aplicación del artículo 39 de la Ley Nacional N° 19.798. La dispensa no se limita a la telefonía. </w:t>
      </w:r>
      <w:r>
        <w:t xml:space="preserve"> </w:t>
      </w:r>
      <w:r>
        <w:rPr>
          <w:b/>
          <w:bCs/>
        </w:rPr>
        <w:t xml:space="preserve">“GCBA s/ queja por recurso de inconstitucionalidad denegado en GCBA contra Telmex Argentina S.A. sobre ejecución fiscal -uso del subsuelo”, Superior Tribunal de Justicia de </w:t>
      </w:r>
      <w:proofErr w:type="gramStart"/>
      <w:r>
        <w:rPr>
          <w:b/>
          <w:bCs/>
        </w:rPr>
        <w:t>la  Ciudad</w:t>
      </w:r>
      <w:proofErr w:type="gramEnd"/>
      <w:r>
        <w:rPr>
          <w:b/>
          <w:bCs/>
        </w:rPr>
        <w:t xml:space="preserve"> Autónoma de Buenos Aires, sentencia del 20 de junio de 2026.</w:t>
      </w:r>
    </w:p>
    <w:p w14:paraId="7B6FECF4" w14:textId="77777777" w:rsidR="005B2835" w:rsidRDefault="005B2835" w:rsidP="005B2835">
      <w:pPr>
        <w:pStyle w:val="ListParagraph"/>
      </w:pPr>
    </w:p>
    <w:p w14:paraId="1F7F8DCE" w14:textId="66E1516F" w:rsidR="005B2835" w:rsidRDefault="005B2835" w:rsidP="0068091C">
      <w:pPr>
        <w:pStyle w:val="ListParagraph"/>
        <w:numPr>
          <w:ilvl w:val="0"/>
          <w:numId w:val="7"/>
        </w:numPr>
        <w:jc w:val="both"/>
      </w:pPr>
      <w:r>
        <w:t>Impuesto sobre los Ingresos Brutos.</w:t>
      </w:r>
      <w:r w:rsidR="005512FC">
        <w:t xml:space="preserve"> Juicio de ejecución fiscal. La Cámara había hecho lugar a la excepción de inhabilidad de título por cuanto el Fisco omitió enviar el “correo electrónico de cortesía” y así le impidió notificarse de la intimación. Se rechaza la acción por cuanto la sentencia recurrida no tiene carácter de “definitiva”. Relevancia de correo electrónico como “práctica administrativa” </w:t>
      </w:r>
      <w:r w:rsidR="005512FC">
        <w:lastRenderedPageBreak/>
        <w:t>que debería ser seguirse en todos los casos sin discriminar.</w:t>
      </w:r>
      <w:r>
        <w:t xml:space="preserve"> </w:t>
      </w:r>
      <w:r>
        <w:rPr>
          <w:b/>
          <w:bCs/>
        </w:rPr>
        <w:t xml:space="preserve">“GCBA s/ queja por recurso de inconstitucionalidad denegado en GCBA contra Fideicomiso Arias sobre ejecución fiscal – ingresos brutos”, Superior Tribunal de Justicia de la Ciudad Autónoma de Buenos Aires, sentencia del 20 de </w:t>
      </w:r>
      <w:r w:rsidR="00476764">
        <w:rPr>
          <w:b/>
          <w:bCs/>
        </w:rPr>
        <w:t>may</w:t>
      </w:r>
      <w:r>
        <w:rPr>
          <w:b/>
          <w:bCs/>
        </w:rPr>
        <w:t>o de 2026.</w:t>
      </w:r>
      <w:r w:rsidR="00476764">
        <w:rPr>
          <w:b/>
          <w:bCs/>
        </w:rPr>
        <w:t xml:space="preserve"> </w:t>
      </w:r>
    </w:p>
    <w:p w14:paraId="5F14D3BA" w14:textId="77777777" w:rsidR="00476764" w:rsidRDefault="00476764" w:rsidP="00476764">
      <w:pPr>
        <w:pStyle w:val="ListParagraph"/>
      </w:pPr>
    </w:p>
    <w:p w14:paraId="36546789" w14:textId="42CC94D8" w:rsidR="00476764" w:rsidRDefault="00476764" w:rsidP="0068091C">
      <w:pPr>
        <w:pStyle w:val="ListParagraph"/>
        <w:numPr>
          <w:ilvl w:val="0"/>
          <w:numId w:val="7"/>
        </w:numPr>
        <w:jc w:val="both"/>
      </w:pPr>
      <w:r>
        <w:t>Impuesto sobre los Ingresos Brutos.</w:t>
      </w:r>
      <w:r w:rsidR="00001E84">
        <w:t xml:space="preserve"> Juicio de ejecución fiscal. Excepción de prescripción admitida por la Cámara. Incidencia de otro apremio por igual tributo y períodos en el que se declaró la “caducidad de instancia”. Se admite la queja del GCBA dado que la sentencia recurrida fue dictada con dos votos – el tercer magistrado estaba de licencia – que divergían en sus fundamentos: en tanto uno de los vocales sustentó su pronunciamiento en el Código Fiscal, el otro lo hizo en el Código Civil y en la doctrina “Volkswagen”. Supuesto de “sentencia con mayoría aparente”.</w:t>
      </w:r>
      <w:r>
        <w:t xml:space="preserve"> </w:t>
      </w:r>
      <w:r>
        <w:rPr>
          <w:b/>
          <w:bCs/>
        </w:rPr>
        <w:t xml:space="preserve">“GCBA s/ queja por recurso de inconstitucionalidad denegado en GCBA contra Alejandro Fabián Bosco y Enrique Rafael Bosco SH sobre ejecución fiscal – ingresos brutos”, Superior Tribunal de Justicia de </w:t>
      </w:r>
      <w:proofErr w:type="gramStart"/>
      <w:r>
        <w:rPr>
          <w:b/>
          <w:bCs/>
        </w:rPr>
        <w:t>la  Ciudad</w:t>
      </w:r>
      <w:proofErr w:type="gramEnd"/>
      <w:r>
        <w:rPr>
          <w:b/>
          <w:bCs/>
        </w:rPr>
        <w:t xml:space="preserve"> Autónoma de Buenos Aires, sentencia del 20 de mayo de 2026.</w:t>
      </w:r>
    </w:p>
    <w:p w14:paraId="2EB16BFF" w14:textId="77777777" w:rsidR="00864466" w:rsidRDefault="00864466" w:rsidP="00864466">
      <w:pPr>
        <w:pStyle w:val="ListParagraph"/>
      </w:pPr>
    </w:p>
    <w:p w14:paraId="5864D0F7" w14:textId="31F57A1F" w:rsidR="00864466" w:rsidRPr="00864466" w:rsidRDefault="00864466" w:rsidP="0068091C">
      <w:pPr>
        <w:pStyle w:val="ListParagraph"/>
        <w:numPr>
          <w:ilvl w:val="0"/>
          <w:numId w:val="7"/>
        </w:numPr>
        <w:jc w:val="both"/>
        <w:rPr>
          <w:lang w:val="es-AR"/>
        </w:rPr>
      </w:pPr>
      <w:r>
        <w:t>Impuesto sobre los Ingresos Brutos. Prestación de servicios de comida para Nucleoeléctrica Argentina S.A.</w:t>
      </w:r>
      <w:r w:rsidR="002A313D">
        <w:t xml:space="preserve"> </w:t>
      </w:r>
      <w:r>
        <w:t>supuestamente exentos por imperio de la Ley Nacional N° 25.566.</w:t>
      </w:r>
      <w:r w:rsidR="002A313D">
        <w:t xml:space="preserve"> Exención vigente incluso en etapa de operación por aplicación de normativa de la Provincia.</w:t>
      </w:r>
      <w:r>
        <w:t xml:space="preserve"> </w:t>
      </w:r>
      <w:r w:rsidRPr="00864466">
        <w:rPr>
          <w:b/>
          <w:bCs/>
          <w:lang w:val="es-AR"/>
        </w:rPr>
        <w:t>“</w:t>
      </w:r>
      <w:proofErr w:type="spellStart"/>
      <w:r w:rsidRPr="00864466">
        <w:rPr>
          <w:b/>
          <w:bCs/>
          <w:lang w:val="es-AR"/>
        </w:rPr>
        <w:t>Degourmet</w:t>
      </w:r>
      <w:proofErr w:type="spellEnd"/>
      <w:r w:rsidRPr="00864466">
        <w:rPr>
          <w:b/>
          <w:bCs/>
          <w:lang w:val="es-AR"/>
        </w:rPr>
        <w:t xml:space="preserve"> S.A. c/ </w:t>
      </w:r>
      <w:proofErr w:type="gramStart"/>
      <w:r w:rsidRPr="00864466">
        <w:rPr>
          <w:b/>
          <w:bCs/>
          <w:lang w:val="es-AR"/>
        </w:rPr>
        <w:t xml:space="preserve">ARBA </w:t>
      </w:r>
      <w:r>
        <w:rPr>
          <w:b/>
          <w:bCs/>
          <w:lang w:val="es-AR"/>
        </w:rPr>
        <w:t xml:space="preserve"> y</w:t>
      </w:r>
      <w:proofErr w:type="gramEnd"/>
      <w:r>
        <w:rPr>
          <w:b/>
          <w:bCs/>
          <w:lang w:val="es-AR"/>
        </w:rPr>
        <w:t xml:space="preserve"> </w:t>
      </w:r>
      <w:proofErr w:type="spellStart"/>
      <w:r>
        <w:rPr>
          <w:b/>
          <w:bCs/>
          <w:lang w:val="es-AR"/>
        </w:rPr>
        <w:t xml:space="preserve">Otro </w:t>
      </w:r>
      <w:r w:rsidRPr="00864466">
        <w:rPr>
          <w:b/>
          <w:bCs/>
          <w:lang w:val="es-AR"/>
        </w:rPr>
        <w:t>s</w:t>
      </w:r>
      <w:proofErr w:type="spellEnd"/>
      <w:r w:rsidRPr="00864466">
        <w:rPr>
          <w:b/>
          <w:bCs/>
          <w:lang w:val="es-AR"/>
        </w:rPr>
        <w:t>/ acción de</w:t>
      </w:r>
      <w:r>
        <w:rPr>
          <w:b/>
          <w:bCs/>
          <w:lang w:val="es-AR"/>
        </w:rPr>
        <w:t xml:space="preserve">clarativa de certeza”, Cámara Federal de La </w:t>
      </w:r>
      <w:proofErr w:type="gramStart"/>
      <w:r>
        <w:rPr>
          <w:b/>
          <w:bCs/>
          <w:lang w:val="es-AR"/>
        </w:rPr>
        <w:t>Plata  Sala</w:t>
      </w:r>
      <w:proofErr w:type="gramEnd"/>
      <w:r>
        <w:rPr>
          <w:b/>
          <w:bCs/>
          <w:lang w:val="es-AR"/>
        </w:rPr>
        <w:t xml:space="preserve"> I, sentencia del…de 2026.</w:t>
      </w:r>
    </w:p>
    <w:p w14:paraId="13836204" w14:textId="77777777" w:rsidR="00B46910" w:rsidRPr="00864466" w:rsidRDefault="00B46910" w:rsidP="00B46910">
      <w:pPr>
        <w:jc w:val="both"/>
        <w:rPr>
          <w:lang w:val="es-AR"/>
        </w:rPr>
      </w:pPr>
    </w:p>
    <w:p w14:paraId="1BB589FB" w14:textId="02CA8768" w:rsidR="00CE45B8" w:rsidRPr="000B4404" w:rsidRDefault="00B46910" w:rsidP="00CE45B8">
      <w:pPr>
        <w:pStyle w:val="ListParagraph"/>
        <w:numPr>
          <w:ilvl w:val="0"/>
          <w:numId w:val="7"/>
        </w:numPr>
        <w:jc w:val="both"/>
        <w:rPr>
          <w:color w:val="000000"/>
          <w:sz w:val="23"/>
          <w:szCs w:val="23"/>
        </w:rPr>
      </w:pPr>
      <w:r>
        <w:t>Impuesto sobre los Ingresos Brutos. Reclamo de repetición consecuencia de declaraciones juradas rectificativas presentadas con motivo de los resuelto por CA y CP en sendas resoluciones que analizaron el artículo 13 del CM y resultaron favorables a la Provincia de Neuquén generándose como contrapartida saldos a favor contra la PBA. Prescripción: períodos anteriores y posteriores al nuevo CCyCN y aplicación de la doctrina “</w:t>
      </w:r>
      <w:proofErr w:type="spellStart"/>
      <w:r>
        <w:t>Filcrosa</w:t>
      </w:r>
      <w:proofErr w:type="spellEnd"/>
      <w:r>
        <w:t xml:space="preserve">”. Ajustes por “notas de débito” de reembolsos de gastos cobrados a otras petroleras atento a ser Pluspetrol el “operador”: en general se confirma por ser insuficiente la prueba aportada. </w:t>
      </w:r>
      <w:r w:rsidRPr="000B4404">
        <w:rPr>
          <w:b/>
          <w:bCs/>
        </w:rPr>
        <w:t xml:space="preserve">“Pluspetrol S.A.”, Tribunal Fiscal de Apelación de la Provincia de Buenos Aires, Sala II, sentencia del 25 de septiembre 2025. </w:t>
      </w:r>
    </w:p>
    <w:p w14:paraId="7246AFC4" w14:textId="77777777" w:rsidR="000B4404" w:rsidRPr="000B4404" w:rsidRDefault="000B4404" w:rsidP="000B4404">
      <w:pPr>
        <w:jc w:val="both"/>
        <w:rPr>
          <w:color w:val="000000"/>
          <w:sz w:val="23"/>
          <w:szCs w:val="23"/>
        </w:rPr>
      </w:pPr>
    </w:p>
    <w:p w14:paraId="0131AC46" w14:textId="23A1D55E" w:rsidR="00B46910" w:rsidRPr="007B7E7A" w:rsidRDefault="00CE45B8" w:rsidP="00CE45B8">
      <w:pPr>
        <w:pStyle w:val="ListParagraph"/>
        <w:numPr>
          <w:ilvl w:val="0"/>
          <w:numId w:val="7"/>
        </w:numPr>
        <w:jc w:val="both"/>
      </w:pPr>
      <w:r w:rsidRPr="00CE45B8">
        <w:rPr>
          <w:color w:val="000000"/>
          <w:sz w:val="23"/>
          <w:szCs w:val="23"/>
        </w:rPr>
        <w:t xml:space="preserve">Impuesto sobre los Ingresos Brutos. Repetición saldo a favor. </w:t>
      </w:r>
      <w:r w:rsidRPr="00CE45B8">
        <w:t>La actora persigue el dictado de una sentencia que declare la inconstitucionalidad de la tasa de interés que aplicó ARBA en la devolución y la condene a restituir intereses conforme tasa pasiva plazo fijo digital o "tasa bip" del Banco de la Provincia de Buenos Aires, desde la fecha de interposición del reclamo de devolución en sede administrativa hasta el momento de su efectivo pago.</w:t>
      </w:r>
      <w:r>
        <w:t xml:space="preserve"> Procedencia formal de la acción sin necesidad de reclamo administrativo previo pese a haber sido pagado el capital reconocido por ARBA. Inconstitucionalidad de la RN N° 61/2012 por violar el derecho de propiedad y resultar irrazonable </w:t>
      </w:r>
      <w:proofErr w:type="gramStart"/>
      <w:r>
        <w:t xml:space="preserve">la </w:t>
      </w:r>
      <w:proofErr w:type="spellStart"/>
      <w:r>
        <w:t>tas</w:t>
      </w:r>
      <w:proofErr w:type="spellEnd"/>
      <w:proofErr w:type="gramEnd"/>
      <w:r>
        <w:t xml:space="preserve"> del 12% anual. </w:t>
      </w:r>
      <w:r w:rsidR="00EA2EF8" w:rsidRPr="00CE45B8">
        <w:rPr>
          <w:b/>
          <w:bCs/>
          <w:color w:val="000000"/>
          <w:sz w:val="23"/>
          <w:szCs w:val="23"/>
        </w:rPr>
        <w:t>"</w:t>
      </w:r>
      <w:r w:rsidR="00EA2EF8" w:rsidRPr="00CE45B8">
        <w:rPr>
          <w:b/>
          <w:bCs/>
          <w:color w:val="000000"/>
        </w:rPr>
        <w:t>Famar Fueguina S.A. a/ Agencia de Recaudación de la Provincia de Buenos Aires - ARBA – y Otro/a s</w:t>
      </w:r>
      <w:proofErr w:type="gramStart"/>
      <w:r w:rsidR="00EA2EF8" w:rsidRPr="00CE45B8">
        <w:rPr>
          <w:b/>
          <w:bCs/>
          <w:color w:val="000000"/>
        </w:rPr>
        <w:t>/  proceso</w:t>
      </w:r>
      <w:proofErr w:type="gramEnd"/>
      <w:r w:rsidR="00EA2EF8" w:rsidRPr="00CE45B8">
        <w:rPr>
          <w:b/>
          <w:bCs/>
          <w:color w:val="000000"/>
        </w:rPr>
        <w:t xml:space="preserve"> sumario de ilegitimidad – otros juicios", Juzgado en lo Contencioso Administrativo N° 1° - La Plata, Provincia de Buenos Aires</w:t>
      </w:r>
      <w:r w:rsidR="00CA4735">
        <w:rPr>
          <w:b/>
          <w:bCs/>
          <w:color w:val="000000"/>
        </w:rPr>
        <w:t>.</w:t>
      </w:r>
    </w:p>
    <w:p w14:paraId="4ECD7527" w14:textId="77777777" w:rsidR="00D4760A" w:rsidRDefault="00D4760A" w:rsidP="00703E6E">
      <w:pPr>
        <w:shd w:val="clear" w:color="auto" w:fill="FFFFFF"/>
        <w:ind w:left="1070"/>
        <w:jc w:val="both"/>
      </w:pPr>
    </w:p>
    <w:p w14:paraId="246B470C" w14:textId="77777777" w:rsidR="00953C5A" w:rsidRPr="00177E34" w:rsidRDefault="00953C5A" w:rsidP="00703E6E">
      <w:pPr>
        <w:shd w:val="clear" w:color="auto" w:fill="FFFFFF"/>
        <w:ind w:left="1070"/>
        <w:jc w:val="both"/>
      </w:pPr>
    </w:p>
    <w:p w14:paraId="20450CF4" w14:textId="77777777" w:rsidR="00866595" w:rsidRPr="00177E34" w:rsidRDefault="00866595" w:rsidP="00866595">
      <w:pPr>
        <w:pStyle w:val="ListParagraph"/>
        <w:tabs>
          <w:tab w:val="left" w:pos="1150"/>
        </w:tabs>
        <w:ind w:left="0"/>
        <w:jc w:val="both"/>
        <w:rPr>
          <w:rFonts w:eastAsia="Arial"/>
          <w:smallCaps/>
          <w:spacing w:val="-3"/>
          <w:u w:val="single"/>
        </w:rPr>
      </w:pPr>
      <w:r w:rsidRPr="00177E34">
        <w:rPr>
          <w:rFonts w:eastAsia="Arial"/>
          <w:smallCaps/>
          <w:spacing w:val="-3"/>
          <w:u w:val="single"/>
        </w:rPr>
        <w:lastRenderedPageBreak/>
        <w:t>Comisión Arbitral y Comisión Plenaria.</w:t>
      </w:r>
    </w:p>
    <w:p w14:paraId="07781C79" w14:textId="77777777" w:rsidR="00244E80" w:rsidRPr="00177E34" w:rsidRDefault="00244E80" w:rsidP="00244E80">
      <w:pPr>
        <w:jc w:val="both"/>
      </w:pPr>
    </w:p>
    <w:p w14:paraId="3B2CF150" w14:textId="0FF94508" w:rsidR="00A12D37" w:rsidRDefault="00E674C9" w:rsidP="00014BBA">
      <w:pPr>
        <w:pStyle w:val="ListParagraph"/>
        <w:numPr>
          <w:ilvl w:val="0"/>
          <w:numId w:val="7"/>
        </w:numPr>
        <w:jc w:val="both"/>
      </w:pPr>
      <w:r>
        <w:t xml:space="preserve">Resolución </w:t>
      </w:r>
      <w:r w:rsidR="00A12D37">
        <w:t>(</w:t>
      </w:r>
      <w:r>
        <w:t>CA</w:t>
      </w:r>
      <w:r w:rsidR="00A12D37">
        <w:t>)</w:t>
      </w:r>
      <w:r>
        <w:t xml:space="preserve"> N° 10/2026 GRAMIT S.A. c/ Provincia de Buenos Aires</w:t>
      </w:r>
      <w:r w:rsidR="00DB7FEF">
        <w:t xml:space="preserve"> </w:t>
      </w:r>
      <w:r>
        <w:t>En este caso se analiza la aplicación del régimen especial del art. 7° del Convenio Multilateral.</w:t>
      </w:r>
      <w:r w:rsidR="00DB7FEF">
        <w:t xml:space="preserve"> </w:t>
      </w:r>
      <w:r>
        <w:t xml:space="preserve">La empresa impugna la aplicación del art. 7 del CM que efectuó PBA pues alega </w:t>
      </w:r>
      <w:proofErr w:type="gramStart"/>
      <w:r>
        <w:t xml:space="preserve">que </w:t>
      </w:r>
      <w:r w:rsidR="00DB7FEF">
        <w:t xml:space="preserve"> </w:t>
      </w:r>
      <w:r>
        <w:t>cuando</w:t>
      </w:r>
      <w:proofErr w:type="gramEnd"/>
      <w:r>
        <w:t xml:space="preserve"> coinciden en una misma jurisdicción tanto la sede como las operaciones</w:t>
      </w:r>
      <w:r w:rsidR="00DB7FEF">
        <w:t xml:space="preserve"> </w:t>
      </w:r>
      <w:r>
        <w:t>corresponde la aplicación del art. 2° CM y no del régimen especial indi</w:t>
      </w:r>
      <w:r w:rsidR="00DB7FEF">
        <w:t>cado.</w:t>
      </w:r>
    </w:p>
    <w:p w14:paraId="13696689" w14:textId="77777777" w:rsidR="00A12D37" w:rsidRDefault="00A12D37" w:rsidP="00A12D37">
      <w:pPr>
        <w:pStyle w:val="ListParagraph"/>
        <w:jc w:val="both"/>
      </w:pPr>
    </w:p>
    <w:p w14:paraId="0AEE8286" w14:textId="0EB787F9" w:rsidR="001D095F" w:rsidRDefault="001D095F" w:rsidP="00014BBA">
      <w:pPr>
        <w:pStyle w:val="ListParagraph"/>
        <w:numPr>
          <w:ilvl w:val="0"/>
          <w:numId w:val="7"/>
        </w:numPr>
        <w:jc w:val="both"/>
      </w:pPr>
      <w:r>
        <w:t xml:space="preserve">Resolución </w:t>
      </w:r>
      <w:r w:rsidR="00A12D37">
        <w:t>(</w:t>
      </w:r>
      <w:r>
        <w:t>CA</w:t>
      </w:r>
      <w:r w:rsidR="00A12D37">
        <w:t>)</w:t>
      </w:r>
      <w:r>
        <w:t xml:space="preserve"> N° 11/2026 CERQUETELLA Juan Alcides c/Municipalidad de Moreno</w:t>
      </w:r>
      <w:r w:rsidR="00014BBA">
        <w:t xml:space="preserve"> </w:t>
      </w:r>
      <w:r>
        <w:t xml:space="preserve">El Sr. </w:t>
      </w:r>
      <w:proofErr w:type="spellStart"/>
      <w:r>
        <w:t>Cerquetella</w:t>
      </w:r>
      <w:proofErr w:type="spellEnd"/>
      <w:r>
        <w:t xml:space="preserve"> Juan Alcides sostiene que no es el titular habilitado del comercio, sino Carlos Alberto. Alega una confusión.</w:t>
      </w:r>
      <w:r w:rsidR="00014BBA">
        <w:t xml:space="preserve"> </w:t>
      </w:r>
      <w:r>
        <w:t>La Municipalidad plantea la incompetencia de la COMARB pues alega que el contribuyente sólo posee un solo local en jurisdicción de Moreno.</w:t>
      </w:r>
      <w:r w:rsidR="00014BBA">
        <w:t xml:space="preserve"> </w:t>
      </w:r>
      <w:r>
        <w:t>Comisión Arbitral: Concluye que no tiene competencia porque Juan Alcides no está inscripto en el Convenio Multilateral.</w:t>
      </w:r>
    </w:p>
    <w:p w14:paraId="09355AD7" w14:textId="77777777" w:rsidR="00E674C9" w:rsidRPr="00177E34" w:rsidRDefault="00E674C9" w:rsidP="00244E80">
      <w:pPr>
        <w:jc w:val="both"/>
      </w:pPr>
    </w:p>
    <w:p w14:paraId="4657D36A" w14:textId="1969F9A4" w:rsidR="006676FE" w:rsidRDefault="006676FE" w:rsidP="005D7E2B">
      <w:pPr>
        <w:pStyle w:val="ListParagraph"/>
        <w:numPr>
          <w:ilvl w:val="0"/>
          <w:numId w:val="7"/>
        </w:numPr>
        <w:jc w:val="both"/>
      </w:pPr>
      <w:r w:rsidRPr="00177E34">
        <w:t>Resolución (C</w:t>
      </w:r>
      <w:r w:rsidR="00C32DB3">
        <w:t>P</w:t>
      </w:r>
      <w:r w:rsidRPr="00177E34">
        <w:t xml:space="preserve">) N° </w:t>
      </w:r>
      <w:r w:rsidR="00C32DB3">
        <w:t>7</w:t>
      </w:r>
      <w:r w:rsidRPr="00177E34">
        <w:t>/2026 “</w:t>
      </w:r>
      <w:r w:rsidR="002E7B55">
        <w:t>British American Tabacco</w:t>
      </w:r>
      <w:r w:rsidR="00D43BA1">
        <w:t xml:space="preserve"> SAIC y F</w:t>
      </w:r>
      <w:r w:rsidRPr="00177E34">
        <w:t xml:space="preserve"> c/ Provincia de Buenos Aires”, </w:t>
      </w:r>
      <w:r w:rsidR="00D43BA1">
        <w:t>11 de junio</w:t>
      </w:r>
      <w:r w:rsidRPr="00177E34">
        <w:t xml:space="preserve"> de 2026.</w:t>
      </w:r>
      <w:r w:rsidR="00ED3D71" w:rsidRPr="00177E34">
        <w:t xml:space="preserve"> Régimen General art. 2° del CM. </w:t>
      </w:r>
      <w:r w:rsidR="002D049A">
        <w:t xml:space="preserve">Atribución de ingresos por </w:t>
      </w:r>
      <w:r w:rsidR="00A16168">
        <w:t>plazos fijos</w:t>
      </w:r>
      <w:r w:rsidR="002A3639">
        <w:t xml:space="preserve">: para la empresa corresponde asignarlos a la jurisdicción donde </w:t>
      </w:r>
      <w:r w:rsidR="007D27B1">
        <w:t>se encuentran radica</w:t>
      </w:r>
      <w:r w:rsidR="00A16168">
        <w:t>das las cuentas bancarias – criterio confirmado por la CA -</w:t>
      </w:r>
      <w:r w:rsidR="002A3639">
        <w:t>, en tanto que para PBA corresponde hacerlo en función proporcional a los ingresos.</w:t>
      </w:r>
      <w:r w:rsidR="00306E2A">
        <w:t xml:space="preserve"> Se confirma la tesis fiscal y </w:t>
      </w:r>
      <w:r w:rsidR="00ED3D71" w:rsidRPr="00177E34">
        <w:t>se hace lugar a la acción</w:t>
      </w:r>
      <w:r w:rsidR="00AC19FB">
        <w:t xml:space="preserve"> planteada por ARBA</w:t>
      </w:r>
      <w:r w:rsidR="00ED3D71" w:rsidRPr="00177E34">
        <w:t>.</w:t>
      </w:r>
    </w:p>
    <w:p w14:paraId="0F1C80D1" w14:textId="77777777" w:rsidR="00306E2A" w:rsidRDefault="00306E2A" w:rsidP="00306E2A">
      <w:pPr>
        <w:jc w:val="both"/>
      </w:pPr>
    </w:p>
    <w:p w14:paraId="1C4D8635" w14:textId="6C8FC880" w:rsidR="00306E2A" w:rsidRDefault="00306E2A" w:rsidP="00306E2A">
      <w:pPr>
        <w:pStyle w:val="ListParagraph"/>
        <w:numPr>
          <w:ilvl w:val="0"/>
          <w:numId w:val="7"/>
        </w:numPr>
        <w:jc w:val="both"/>
      </w:pPr>
      <w:r>
        <w:t>Resolución (CP) N° 8/2026</w:t>
      </w:r>
      <w:r w:rsidR="0030394E">
        <w:t xml:space="preserve"> “AMX Argentina SA c/ municipalidad de La Matanza”. </w:t>
      </w:r>
      <w:r w:rsidR="003D4363">
        <w:t>Aplicación del artículo 35 del CM. Ingresos financieros exentos en la Provincia de Buenos Aires, deben igua</w:t>
      </w:r>
      <w:r w:rsidR="00E330BF">
        <w:t>lmente integrar la base imponible de la Tasa por cuanto ello no implica vulnerar el primer párrafo de la norma referida.</w:t>
      </w:r>
    </w:p>
    <w:p w14:paraId="3B43C37B" w14:textId="77777777" w:rsidR="00706682" w:rsidRDefault="00706682" w:rsidP="00706682">
      <w:pPr>
        <w:pStyle w:val="ListParagraph"/>
        <w:jc w:val="both"/>
      </w:pPr>
    </w:p>
    <w:p w14:paraId="12B79D10" w14:textId="77777777" w:rsidR="00727A27" w:rsidRPr="00177E34" w:rsidRDefault="00727A27" w:rsidP="00706682">
      <w:pPr>
        <w:pStyle w:val="ListParagraph"/>
        <w:jc w:val="both"/>
      </w:pPr>
    </w:p>
    <w:p w14:paraId="35AE9B10" w14:textId="2B07D964" w:rsidR="00866595" w:rsidRPr="00177E34" w:rsidRDefault="00866595" w:rsidP="00866595">
      <w:pPr>
        <w:pStyle w:val="ListParagraph"/>
        <w:ind w:left="0"/>
        <w:rPr>
          <w:rFonts w:eastAsia="Arial"/>
          <w:smallCaps/>
          <w:spacing w:val="-3"/>
          <w:u w:val="single"/>
        </w:rPr>
      </w:pPr>
      <w:r w:rsidRPr="00177E34">
        <w:rPr>
          <w:rFonts w:eastAsia="Arial"/>
          <w:smallCaps/>
          <w:spacing w:val="-3"/>
          <w:u w:val="single"/>
        </w:rPr>
        <w:t xml:space="preserve">Legislación. </w:t>
      </w:r>
    </w:p>
    <w:p w14:paraId="067F819E" w14:textId="77777777" w:rsidR="00866595" w:rsidRPr="00177E34" w:rsidRDefault="00866595" w:rsidP="00866595">
      <w:pPr>
        <w:shd w:val="clear" w:color="auto" w:fill="FFFFFF"/>
        <w:spacing w:line="225" w:lineRule="atLeast"/>
        <w:ind w:left="1070"/>
        <w:jc w:val="both"/>
        <w:textAlignment w:val="baseline"/>
        <w:rPr>
          <w:lang w:val="es-ES"/>
        </w:rPr>
      </w:pPr>
    </w:p>
    <w:p w14:paraId="7E0895FD" w14:textId="79BB9485" w:rsidR="002E7082" w:rsidRDefault="002E7082" w:rsidP="005D7E2B">
      <w:pPr>
        <w:pStyle w:val="ListParagraph"/>
        <w:numPr>
          <w:ilvl w:val="0"/>
          <w:numId w:val="7"/>
        </w:numPr>
        <w:shd w:val="clear" w:color="auto" w:fill="FFFFFF"/>
        <w:spacing w:line="225" w:lineRule="atLeast"/>
        <w:jc w:val="both"/>
        <w:textAlignment w:val="baseline"/>
        <w:rPr>
          <w:lang w:eastAsia="es-AR"/>
        </w:rPr>
      </w:pPr>
      <w:r w:rsidRPr="00177E34">
        <w:rPr>
          <w:lang w:eastAsia="es-AR"/>
        </w:rPr>
        <w:t>Ley N° 69</w:t>
      </w:r>
      <w:r w:rsidR="00E9415D">
        <w:rPr>
          <w:lang w:eastAsia="es-AR"/>
        </w:rPr>
        <w:t>59</w:t>
      </w:r>
      <w:r w:rsidRPr="00177E34">
        <w:rPr>
          <w:lang w:eastAsia="es-AR"/>
        </w:rPr>
        <w:t xml:space="preserve"> – Ciudad Autónoma de Buenos Aires. </w:t>
      </w:r>
      <w:r w:rsidR="00BC5BB3" w:rsidRPr="00541724">
        <w:t>Programa de Desendeudamiento Familiar y Personal, destinado a facilitar la refinanciación y cancelación de deudas de consumo de personas humanas residentes en la Ciudad que se encuentren en situación de vulnerabilidad financiera, mediante el acceso a líneas de crédito especiales otorgadas por entidades financieras adheridas al programa</w:t>
      </w:r>
      <w:r w:rsidR="00BC5BB3">
        <w:t xml:space="preserve">. </w:t>
      </w:r>
      <w:r w:rsidR="001F2259" w:rsidRPr="00541724">
        <w:t>Las entidades adheridas gozarán de una reducción impositiva equivalente al cincuenta por ciento (50%) del Impuesto sobre los Ingresos Brutos correspondiente a los intereses percibidos por los préstamos otorgados en el marco del programa</w:t>
      </w:r>
      <w:r w:rsidR="007E7A9C">
        <w:t>.</w:t>
      </w:r>
    </w:p>
    <w:p w14:paraId="55107469" w14:textId="77777777" w:rsidR="007E7A9C" w:rsidRDefault="007E7A9C" w:rsidP="007E7A9C">
      <w:pPr>
        <w:shd w:val="clear" w:color="auto" w:fill="FFFFFF"/>
        <w:spacing w:line="225" w:lineRule="atLeast"/>
        <w:ind w:left="360"/>
        <w:jc w:val="both"/>
        <w:textAlignment w:val="baseline"/>
        <w:rPr>
          <w:lang w:eastAsia="es-AR"/>
        </w:rPr>
      </w:pPr>
    </w:p>
    <w:p w14:paraId="42E3F606" w14:textId="77777777" w:rsidR="00312121" w:rsidRDefault="00FA74F4" w:rsidP="007E7A9C">
      <w:pPr>
        <w:pStyle w:val="ListParagraph"/>
        <w:numPr>
          <w:ilvl w:val="0"/>
          <w:numId w:val="7"/>
        </w:numPr>
        <w:shd w:val="clear" w:color="auto" w:fill="FFFFFF"/>
        <w:spacing w:line="225" w:lineRule="atLeast"/>
        <w:jc w:val="both"/>
        <w:textAlignment w:val="baseline"/>
        <w:rPr>
          <w:lang w:eastAsia="es-AR"/>
        </w:rPr>
      </w:pPr>
      <w:r>
        <w:rPr>
          <w:lang w:eastAsia="es-AR"/>
        </w:rPr>
        <w:t>Resolución Conjunta</w:t>
      </w:r>
      <w:r w:rsidR="00101E20">
        <w:rPr>
          <w:lang w:eastAsia="es-AR"/>
        </w:rPr>
        <w:t xml:space="preserve"> (AGIP)</w:t>
      </w:r>
      <w:r>
        <w:rPr>
          <w:lang w:eastAsia="es-AR"/>
        </w:rPr>
        <w:t xml:space="preserve"> N°</w:t>
      </w:r>
      <w:r w:rsidR="00101E20">
        <w:rPr>
          <w:lang w:eastAsia="es-AR"/>
        </w:rPr>
        <w:t xml:space="preserve"> 727/2026 – Ciudad Autónoma de Buenos Aires. Reglamentaria de la Ley N° 6959</w:t>
      </w:r>
      <w:r w:rsidR="00257AA5">
        <w:rPr>
          <w:lang w:eastAsia="es-AR"/>
        </w:rPr>
        <w:t>.</w:t>
      </w:r>
    </w:p>
    <w:p w14:paraId="3E622B6E" w14:textId="77777777" w:rsidR="00312121" w:rsidRDefault="00312121" w:rsidP="00312121">
      <w:pPr>
        <w:pStyle w:val="ListParagraph"/>
        <w:rPr>
          <w:lang w:eastAsia="es-AR"/>
        </w:rPr>
      </w:pPr>
    </w:p>
    <w:p w14:paraId="281CD25E" w14:textId="4694C2B2" w:rsidR="007E7A9C" w:rsidRPr="00177E34" w:rsidRDefault="00312121" w:rsidP="007E7A9C">
      <w:pPr>
        <w:pStyle w:val="ListParagraph"/>
        <w:numPr>
          <w:ilvl w:val="0"/>
          <w:numId w:val="7"/>
        </w:numPr>
        <w:shd w:val="clear" w:color="auto" w:fill="FFFFFF"/>
        <w:spacing w:line="225" w:lineRule="atLeast"/>
        <w:jc w:val="both"/>
        <w:textAlignment w:val="baseline"/>
        <w:rPr>
          <w:lang w:eastAsia="es-AR"/>
        </w:rPr>
      </w:pPr>
      <w:r>
        <w:rPr>
          <w:lang w:eastAsia="es-AR"/>
        </w:rPr>
        <w:t>Resolución (AGIP) N° 262</w:t>
      </w:r>
      <w:r w:rsidR="008331D3">
        <w:rPr>
          <w:lang w:eastAsia="es-AR"/>
        </w:rPr>
        <w:t xml:space="preserve">/2026 – Ciudad Autónoma de Buenos Aires. </w:t>
      </w:r>
      <w:r w:rsidR="008331D3" w:rsidRPr="00E42FCD">
        <w:t>Implementación del “Registro Único Tributario - Padrón Federal</w:t>
      </w:r>
      <w:r w:rsidR="008331D3">
        <w:t>” aprobado por la Resolución General (CA) N° 5/2019.</w:t>
      </w:r>
      <w:r w:rsidR="00FA74F4">
        <w:rPr>
          <w:lang w:eastAsia="es-AR"/>
        </w:rPr>
        <w:t xml:space="preserve"> </w:t>
      </w:r>
    </w:p>
    <w:sectPr w:rsidR="007E7A9C" w:rsidRPr="00177E3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04E9C"/>
    <w:multiLevelType w:val="hybridMultilevel"/>
    <w:tmpl w:val="67EE7AB6"/>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15:restartNumberingAfterBreak="0">
    <w:nsid w:val="2BB4491B"/>
    <w:multiLevelType w:val="hybridMultilevel"/>
    <w:tmpl w:val="FA58CFAC"/>
    <w:lvl w:ilvl="0" w:tplc="45BCB5C0">
      <w:numFmt w:val="bullet"/>
      <w:lvlText w:val="-"/>
      <w:lvlJc w:val="left"/>
      <w:pPr>
        <w:ind w:left="720" w:hanging="360"/>
      </w:pPr>
      <w:rPr>
        <w:rFonts w:ascii="Cambria" w:eastAsia="Cambria" w:hAnsi="Cambria" w:cs="Cambria" w:hint="default"/>
      </w:rPr>
    </w:lvl>
    <w:lvl w:ilvl="1" w:tplc="2C0A0003">
      <w:start w:val="1"/>
      <w:numFmt w:val="bullet"/>
      <w:lvlText w:val="o"/>
      <w:lvlJc w:val="left"/>
      <w:pPr>
        <w:ind w:left="1440" w:hanging="360"/>
      </w:pPr>
      <w:rPr>
        <w:rFonts w:ascii="Cambria Math" w:hAnsi="Cambria Math" w:cs="Cambria Math" w:hint="default"/>
      </w:rPr>
    </w:lvl>
    <w:lvl w:ilvl="2" w:tplc="2C0A0005">
      <w:start w:val="1"/>
      <w:numFmt w:val="bullet"/>
      <w:lvlText w:val=""/>
      <w:lvlJc w:val="left"/>
      <w:pPr>
        <w:ind w:left="2160" w:hanging="360"/>
      </w:pPr>
      <w:rPr>
        <w:rFonts w:ascii="Arial Unicode MS" w:eastAsia="Times New Roman" w:hAnsi="Arial Unicode MS" w:cs="Times New Roman" w:hint="default"/>
      </w:rPr>
    </w:lvl>
    <w:lvl w:ilvl="3" w:tplc="2C0A0001">
      <w:start w:val="1"/>
      <w:numFmt w:val="bullet"/>
      <w:lvlText w:val=""/>
      <w:lvlJc w:val="left"/>
      <w:pPr>
        <w:ind w:left="2880" w:hanging="360"/>
      </w:pPr>
      <w:rPr>
        <w:rFonts w:ascii="inherit" w:hAnsi="inherit" w:hint="default"/>
      </w:rPr>
    </w:lvl>
    <w:lvl w:ilvl="4" w:tplc="2C0A0003">
      <w:start w:val="1"/>
      <w:numFmt w:val="bullet"/>
      <w:lvlText w:val="o"/>
      <w:lvlJc w:val="left"/>
      <w:pPr>
        <w:ind w:left="3600" w:hanging="360"/>
      </w:pPr>
      <w:rPr>
        <w:rFonts w:ascii="Cambria Math" w:hAnsi="Cambria Math" w:cs="Cambria Math" w:hint="default"/>
      </w:rPr>
    </w:lvl>
    <w:lvl w:ilvl="5" w:tplc="2C0A0005">
      <w:start w:val="1"/>
      <w:numFmt w:val="bullet"/>
      <w:lvlText w:val=""/>
      <w:lvlJc w:val="left"/>
      <w:pPr>
        <w:ind w:left="4320" w:hanging="360"/>
      </w:pPr>
      <w:rPr>
        <w:rFonts w:ascii="Arial Unicode MS" w:eastAsia="Times New Roman" w:hAnsi="Arial Unicode MS" w:cs="Times New Roman" w:hint="default"/>
      </w:rPr>
    </w:lvl>
    <w:lvl w:ilvl="6" w:tplc="2C0A0001">
      <w:start w:val="1"/>
      <w:numFmt w:val="bullet"/>
      <w:lvlText w:val=""/>
      <w:lvlJc w:val="left"/>
      <w:pPr>
        <w:ind w:left="5040" w:hanging="360"/>
      </w:pPr>
      <w:rPr>
        <w:rFonts w:ascii="inherit" w:hAnsi="inherit" w:hint="default"/>
      </w:rPr>
    </w:lvl>
    <w:lvl w:ilvl="7" w:tplc="2C0A0003">
      <w:start w:val="1"/>
      <w:numFmt w:val="bullet"/>
      <w:lvlText w:val="o"/>
      <w:lvlJc w:val="left"/>
      <w:pPr>
        <w:ind w:left="5760" w:hanging="360"/>
      </w:pPr>
      <w:rPr>
        <w:rFonts w:ascii="Cambria Math" w:hAnsi="Cambria Math" w:cs="Cambria Math" w:hint="default"/>
      </w:rPr>
    </w:lvl>
    <w:lvl w:ilvl="8" w:tplc="2C0A0005">
      <w:start w:val="1"/>
      <w:numFmt w:val="bullet"/>
      <w:lvlText w:val=""/>
      <w:lvlJc w:val="left"/>
      <w:pPr>
        <w:ind w:left="6480" w:hanging="360"/>
      </w:pPr>
      <w:rPr>
        <w:rFonts w:ascii="Arial Unicode MS" w:eastAsia="Times New Roman" w:hAnsi="Arial Unicode MS" w:cs="Times New Roman" w:hint="default"/>
      </w:rPr>
    </w:lvl>
  </w:abstractNum>
  <w:abstractNum w:abstractNumId="2" w15:restartNumberingAfterBreak="0">
    <w:nsid w:val="46F032CC"/>
    <w:multiLevelType w:val="hybridMultilevel"/>
    <w:tmpl w:val="67EE7A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8F402BB"/>
    <w:multiLevelType w:val="hybridMultilevel"/>
    <w:tmpl w:val="23F00D0E"/>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15:restartNumberingAfterBreak="0">
    <w:nsid w:val="644D238C"/>
    <w:multiLevelType w:val="hybridMultilevel"/>
    <w:tmpl w:val="91DC42EE"/>
    <w:lvl w:ilvl="0" w:tplc="0D3AE046">
      <w:start w:val="14"/>
      <w:numFmt w:val="bullet"/>
      <w:lvlText w:val="-"/>
      <w:lvlJc w:val="left"/>
      <w:pPr>
        <w:ind w:left="720" w:hanging="360"/>
      </w:pPr>
      <w:rPr>
        <w:rFonts w:ascii="Cambria" w:eastAsia="Cambria" w:hAnsi="Cambria" w:cs="Cambria"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abstractNum w:abstractNumId="5" w15:restartNumberingAfterBreak="0">
    <w:nsid w:val="7308388F"/>
    <w:multiLevelType w:val="hybridMultilevel"/>
    <w:tmpl w:val="964EDE30"/>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15:restartNumberingAfterBreak="0">
    <w:nsid w:val="7F0713ED"/>
    <w:multiLevelType w:val="hybridMultilevel"/>
    <w:tmpl w:val="4A8A2394"/>
    <w:lvl w:ilvl="0" w:tplc="FC2CEB9C">
      <w:numFmt w:val="bullet"/>
      <w:lvlText w:val="-"/>
      <w:lvlJc w:val="left"/>
      <w:pPr>
        <w:ind w:left="720" w:hanging="360"/>
      </w:pPr>
      <w:rPr>
        <w:rFonts w:ascii="Aptos" w:eastAsiaTheme="minorHAnsi" w:hAnsi="Apto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16cid:durableId="18017310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6717933">
    <w:abstractNumId w:val="4"/>
  </w:num>
  <w:num w:numId="3" w16cid:durableId="1468819145">
    <w:abstractNumId w:val="1"/>
  </w:num>
  <w:num w:numId="4" w16cid:durableId="2110151585">
    <w:abstractNumId w:val="6"/>
  </w:num>
  <w:num w:numId="5" w16cid:durableId="1271551292">
    <w:abstractNumId w:val="0"/>
  </w:num>
  <w:num w:numId="6" w16cid:durableId="1944025277">
    <w:abstractNumId w:val="2"/>
  </w:num>
  <w:num w:numId="7" w16cid:durableId="15721603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595"/>
    <w:rsid w:val="00001E84"/>
    <w:rsid w:val="00003D13"/>
    <w:rsid w:val="000122B2"/>
    <w:rsid w:val="00014BBA"/>
    <w:rsid w:val="00017293"/>
    <w:rsid w:val="000210C4"/>
    <w:rsid w:val="00027BC4"/>
    <w:rsid w:val="00033D09"/>
    <w:rsid w:val="000362D4"/>
    <w:rsid w:val="00043E2C"/>
    <w:rsid w:val="00043EDC"/>
    <w:rsid w:val="00050262"/>
    <w:rsid w:val="00051D67"/>
    <w:rsid w:val="0006266F"/>
    <w:rsid w:val="00083F17"/>
    <w:rsid w:val="00084D27"/>
    <w:rsid w:val="000A6772"/>
    <w:rsid w:val="000B4404"/>
    <w:rsid w:val="000C66DA"/>
    <w:rsid w:val="000F1C3C"/>
    <w:rsid w:val="000F56A8"/>
    <w:rsid w:val="00100D30"/>
    <w:rsid w:val="00101E20"/>
    <w:rsid w:val="00102D08"/>
    <w:rsid w:val="00106013"/>
    <w:rsid w:val="0011052B"/>
    <w:rsid w:val="00130B2B"/>
    <w:rsid w:val="00142C98"/>
    <w:rsid w:val="001635FB"/>
    <w:rsid w:val="00164FA3"/>
    <w:rsid w:val="00177E34"/>
    <w:rsid w:val="00187F88"/>
    <w:rsid w:val="001A1630"/>
    <w:rsid w:val="001A1DBA"/>
    <w:rsid w:val="001A4AB0"/>
    <w:rsid w:val="001B356A"/>
    <w:rsid w:val="001C3756"/>
    <w:rsid w:val="001D095F"/>
    <w:rsid w:val="001D1049"/>
    <w:rsid w:val="001D51B9"/>
    <w:rsid w:val="001F2259"/>
    <w:rsid w:val="00207429"/>
    <w:rsid w:val="00225000"/>
    <w:rsid w:val="00235971"/>
    <w:rsid w:val="00244E80"/>
    <w:rsid w:val="00245A7E"/>
    <w:rsid w:val="0025019C"/>
    <w:rsid w:val="00253823"/>
    <w:rsid w:val="002548D0"/>
    <w:rsid w:val="00257AA5"/>
    <w:rsid w:val="00274E6A"/>
    <w:rsid w:val="00287B6D"/>
    <w:rsid w:val="00291AB0"/>
    <w:rsid w:val="002948A2"/>
    <w:rsid w:val="002A189D"/>
    <w:rsid w:val="002A313D"/>
    <w:rsid w:val="002A3639"/>
    <w:rsid w:val="002B06D1"/>
    <w:rsid w:val="002C2223"/>
    <w:rsid w:val="002C385B"/>
    <w:rsid w:val="002C5DA1"/>
    <w:rsid w:val="002D049A"/>
    <w:rsid w:val="002D1C18"/>
    <w:rsid w:val="002D21A8"/>
    <w:rsid w:val="002D34D4"/>
    <w:rsid w:val="002E02C8"/>
    <w:rsid w:val="002E7082"/>
    <w:rsid w:val="002E7650"/>
    <w:rsid w:val="002E7B55"/>
    <w:rsid w:val="00303727"/>
    <w:rsid w:val="0030394E"/>
    <w:rsid w:val="00306E2A"/>
    <w:rsid w:val="00312121"/>
    <w:rsid w:val="0031700C"/>
    <w:rsid w:val="00320A4C"/>
    <w:rsid w:val="003277B1"/>
    <w:rsid w:val="00332F5E"/>
    <w:rsid w:val="003413E5"/>
    <w:rsid w:val="00354488"/>
    <w:rsid w:val="00354D39"/>
    <w:rsid w:val="0036585E"/>
    <w:rsid w:val="0036701F"/>
    <w:rsid w:val="00396A0F"/>
    <w:rsid w:val="003A010D"/>
    <w:rsid w:val="003B261A"/>
    <w:rsid w:val="003B317D"/>
    <w:rsid w:val="003B5BF4"/>
    <w:rsid w:val="003D4363"/>
    <w:rsid w:val="003E0565"/>
    <w:rsid w:val="003E193E"/>
    <w:rsid w:val="003E65A3"/>
    <w:rsid w:val="003E7360"/>
    <w:rsid w:val="003F064F"/>
    <w:rsid w:val="003F6EF7"/>
    <w:rsid w:val="003F7D3D"/>
    <w:rsid w:val="00401D89"/>
    <w:rsid w:val="004212E3"/>
    <w:rsid w:val="00424EF5"/>
    <w:rsid w:val="00450866"/>
    <w:rsid w:val="00450C6F"/>
    <w:rsid w:val="004522C4"/>
    <w:rsid w:val="00461F0C"/>
    <w:rsid w:val="004720B5"/>
    <w:rsid w:val="004728B1"/>
    <w:rsid w:val="00475388"/>
    <w:rsid w:val="00476764"/>
    <w:rsid w:val="00477F82"/>
    <w:rsid w:val="00484D1A"/>
    <w:rsid w:val="004A53FE"/>
    <w:rsid w:val="004A7E52"/>
    <w:rsid w:val="004C02CC"/>
    <w:rsid w:val="004C0AAE"/>
    <w:rsid w:val="004C4268"/>
    <w:rsid w:val="004E27B3"/>
    <w:rsid w:val="004E63EB"/>
    <w:rsid w:val="004F129D"/>
    <w:rsid w:val="004F7FC2"/>
    <w:rsid w:val="00512272"/>
    <w:rsid w:val="00525366"/>
    <w:rsid w:val="00531B9F"/>
    <w:rsid w:val="005512FC"/>
    <w:rsid w:val="005603DE"/>
    <w:rsid w:val="0056665E"/>
    <w:rsid w:val="00571184"/>
    <w:rsid w:val="00583C92"/>
    <w:rsid w:val="00584119"/>
    <w:rsid w:val="00585F10"/>
    <w:rsid w:val="0058694E"/>
    <w:rsid w:val="0058784D"/>
    <w:rsid w:val="0059659D"/>
    <w:rsid w:val="005A1524"/>
    <w:rsid w:val="005A1F99"/>
    <w:rsid w:val="005A77E6"/>
    <w:rsid w:val="005B2835"/>
    <w:rsid w:val="005B63D8"/>
    <w:rsid w:val="005D7E2B"/>
    <w:rsid w:val="005F065C"/>
    <w:rsid w:val="005F0C47"/>
    <w:rsid w:val="005F3D33"/>
    <w:rsid w:val="005F43F3"/>
    <w:rsid w:val="005F6BCA"/>
    <w:rsid w:val="006015FB"/>
    <w:rsid w:val="00606B9A"/>
    <w:rsid w:val="0061504E"/>
    <w:rsid w:val="00663172"/>
    <w:rsid w:val="00665A1A"/>
    <w:rsid w:val="006676FE"/>
    <w:rsid w:val="0067418A"/>
    <w:rsid w:val="00674904"/>
    <w:rsid w:val="0068091C"/>
    <w:rsid w:val="0068313E"/>
    <w:rsid w:val="006A1C34"/>
    <w:rsid w:val="006C02ED"/>
    <w:rsid w:val="006C20E6"/>
    <w:rsid w:val="006E0FD5"/>
    <w:rsid w:val="006E1EEF"/>
    <w:rsid w:val="006F6866"/>
    <w:rsid w:val="00703E6E"/>
    <w:rsid w:val="00706682"/>
    <w:rsid w:val="00706C9E"/>
    <w:rsid w:val="007159C9"/>
    <w:rsid w:val="00715FE2"/>
    <w:rsid w:val="00727A27"/>
    <w:rsid w:val="007370A8"/>
    <w:rsid w:val="00743AE9"/>
    <w:rsid w:val="00754AA4"/>
    <w:rsid w:val="0076091E"/>
    <w:rsid w:val="00766845"/>
    <w:rsid w:val="0077518F"/>
    <w:rsid w:val="00781868"/>
    <w:rsid w:val="007903A5"/>
    <w:rsid w:val="00791660"/>
    <w:rsid w:val="00792806"/>
    <w:rsid w:val="00792FC3"/>
    <w:rsid w:val="007A3ED5"/>
    <w:rsid w:val="007A66A6"/>
    <w:rsid w:val="007A77D4"/>
    <w:rsid w:val="007B7E7A"/>
    <w:rsid w:val="007D27B1"/>
    <w:rsid w:val="007E7A9C"/>
    <w:rsid w:val="00803D6D"/>
    <w:rsid w:val="00805AEE"/>
    <w:rsid w:val="00814845"/>
    <w:rsid w:val="0081485E"/>
    <w:rsid w:val="00821130"/>
    <w:rsid w:val="00830C62"/>
    <w:rsid w:val="008331D3"/>
    <w:rsid w:val="008408EA"/>
    <w:rsid w:val="0085592F"/>
    <w:rsid w:val="00855DF6"/>
    <w:rsid w:val="008613A9"/>
    <w:rsid w:val="00864466"/>
    <w:rsid w:val="00866595"/>
    <w:rsid w:val="008677C5"/>
    <w:rsid w:val="008762BF"/>
    <w:rsid w:val="008773B6"/>
    <w:rsid w:val="00877AE9"/>
    <w:rsid w:val="00882DDB"/>
    <w:rsid w:val="008961B5"/>
    <w:rsid w:val="008A111A"/>
    <w:rsid w:val="008C121F"/>
    <w:rsid w:val="008C32CA"/>
    <w:rsid w:val="008D32D1"/>
    <w:rsid w:val="008D3D4E"/>
    <w:rsid w:val="008D6712"/>
    <w:rsid w:val="008D6943"/>
    <w:rsid w:val="008F7BD8"/>
    <w:rsid w:val="0090316E"/>
    <w:rsid w:val="00904010"/>
    <w:rsid w:val="00910300"/>
    <w:rsid w:val="00911E52"/>
    <w:rsid w:val="00921AC1"/>
    <w:rsid w:val="0092358F"/>
    <w:rsid w:val="00926DDC"/>
    <w:rsid w:val="00927743"/>
    <w:rsid w:val="00930B5A"/>
    <w:rsid w:val="00932C07"/>
    <w:rsid w:val="009407D8"/>
    <w:rsid w:val="00946B81"/>
    <w:rsid w:val="0094708E"/>
    <w:rsid w:val="00947718"/>
    <w:rsid w:val="00953C5A"/>
    <w:rsid w:val="00954631"/>
    <w:rsid w:val="0096155D"/>
    <w:rsid w:val="009673B0"/>
    <w:rsid w:val="00984895"/>
    <w:rsid w:val="00994A4C"/>
    <w:rsid w:val="009A60CA"/>
    <w:rsid w:val="009A6BC8"/>
    <w:rsid w:val="009B29E9"/>
    <w:rsid w:val="009B5816"/>
    <w:rsid w:val="009D097C"/>
    <w:rsid w:val="009D0D80"/>
    <w:rsid w:val="009D50D4"/>
    <w:rsid w:val="009E0A1C"/>
    <w:rsid w:val="009E1C7F"/>
    <w:rsid w:val="009E2BCA"/>
    <w:rsid w:val="009E46F9"/>
    <w:rsid w:val="009F6B0B"/>
    <w:rsid w:val="009F70FE"/>
    <w:rsid w:val="00A12D37"/>
    <w:rsid w:val="00A16168"/>
    <w:rsid w:val="00A206EA"/>
    <w:rsid w:val="00A37F40"/>
    <w:rsid w:val="00A54233"/>
    <w:rsid w:val="00A56D46"/>
    <w:rsid w:val="00A61BF7"/>
    <w:rsid w:val="00A65263"/>
    <w:rsid w:val="00A65465"/>
    <w:rsid w:val="00A72E5F"/>
    <w:rsid w:val="00A76316"/>
    <w:rsid w:val="00A77456"/>
    <w:rsid w:val="00AB1545"/>
    <w:rsid w:val="00AB1B46"/>
    <w:rsid w:val="00AC19FB"/>
    <w:rsid w:val="00AC3CC6"/>
    <w:rsid w:val="00AC45CF"/>
    <w:rsid w:val="00AD26E2"/>
    <w:rsid w:val="00AE1B62"/>
    <w:rsid w:val="00AE2979"/>
    <w:rsid w:val="00B405F5"/>
    <w:rsid w:val="00B42056"/>
    <w:rsid w:val="00B46910"/>
    <w:rsid w:val="00B46DF8"/>
    <w:rsid w:val="00B63F55"/>
    <w:rsid w:val="00B654F8"/>
    <w:rsid w:val="00B668DB"/>
    <w:rsid w:val="00B7004B"/>
    <w:rsid w:val="00B70F70"/>
    <w:rsid w:val="00B73E4B"/>
    <w:rsid w:val="00B74EAE"/>
    <w:rsid w:val="00B75CBF"/>
    <w:rsid w:val="00B80018"/>
    <w:rsid w:val="00B86FA5"/>
    <w:rsid w:val="00B91223"/>
    <w:rsid w:val="00B95FCA"/>
    <w:rsid w:val="00BA380B"/>
    <w:rsid w:val="00BB2BAD"/>
    <w:rsid w:val="00BB3B0D"/>
    <w:rsid w:val="00BB4C0A"/>
    <w:rsid w:val="00BB55F6"/>
    <w:rsid w:val="00BC47B8"/>
    <w:rsid w:val="00BC5BB3"/>
    <w:rsid w:val="00BD3DE4"/>
    <w:rsid w:val="00BE0B2E"/>
    <w:rsid w:val="00BF369C"/>
    <w:rsid w:val="00BF3DF4"/>
    <w:rsid w:val="00C0019E"/>
    <w:rsid w:val="00C05E6B"/>
    <w:rsid w:val="00C1155C"/>
    <w:rsid w:val="00C22FA1"/>
    <w:rsid w:val="00C23A79"/>
    <w:rsid w:val="00C26FF9"/>
    <w:rsid w:val="00C323A7"/>
    <w:rsid w:val="00C323E1"/>
    <w:rsid w:val="00C32DB3"/>
    <w:rsid w:val="00C71425"/>
    <w:rsid w:val="00C731E8"/>
    <w:rsid w:val="00C82EF6"/>
    <w:rsid w:val="00C8312B"/>
    <w:rsid w:val="00C92D63"/>
    <w:rsid w:val="00CA32B9"/>
    <w:rsid w:val="00CA4735"/>
    <w:rsid w:val="00CB2168"/>
    <w:rsid w:val="00CB4DD2"/>
    <w:rsid w:val="00CC2B1B"/>
    <w:rsid w:val="00CD033C"/>
    <w:rsid w:val="00CD0BA6"/>
    <w:rsid w:val="00CE45B8"/>
    <w:rsid w:val="00CF1783"/>
    <w:rsid w:val="00CF1DC5"/>
    <w:rsid w:val="00CF3116"/>
    <w:rsid w:val="00D03886"/>
    <w:rsid w:val="00D15240"/>
    <w:rsid w:val="00D301DF"/>
    <w:rsid w:val="00D30706"/>
    <w:rsid w:val="00D3338A"/>
    <w:rsid w:val="00D35F84"/>
    <w:rsid w:val="00D3681B"/>
    <w:rsid w:val="00D43BA1"/>
    <w:rsid w:val="00D4760A"/>
    <w:rsid w:val="00D51BBE"/>
    <w:rsid w:val="00D7718F"/>
    <w:rsid w:val="00D82864"/>
    <w:rsid w:val="00D82E5E"/>
    <w:rsid w:val="00D869D7"/>
    <w:rsid w:val="00D907FC"/>
    <w:rsid w:val="00DA47A3"/>
    <w:rsid w:val="00DA6203"/>
    <w:rsid w:val="00DA71DC"/>
    <w:rsid w:val="00DB75DD"/>
    <w:rsid w:val="00DB7FEF"/>
    <w:rsid w:val="00DC56B2"/>
    <w:rsid w:val="00DE309E"/>
    <w:rsid w:val="00DE3BC1"/>
    <w:rsid w:val="00DE3D92"/>
    <w:rsid w:val="00DF3B07"/>
    <w:rsid w:val="00E05A5A"/>
    <w:rsid w:val="00E05A93"/>
    <w:rsid w:val="00E0696C"/>
    <w:rsid w:val="00E10936"/>
    <w:rsid w:val="00E330BF"/>
    <w:rsid w:val="00E37DE1"/>
    <w:rsid w:val="00E41471"/>
    <w:rsid w:val="00E4765B"/>
    <w:rsid w:val="00E60F74"/>
    <w:rsid w:val="00E674C9"/>
    <w:rsid w:val="00E70CCC"/>
    <w:rsid w:val="00E9415D"/>
    <w:rsid w:val="00E94E0D"/>
    <w:rsid w:val="00E97183"/>
    <w:rsid w:val="00EA2EF8"/>
    <w:rsid w:val="00EB06DC"/>
    <w:rsid w:val="00EB580F"/>
    <w:rsid w:val="00EC3215"/>
    <w:rsid w:val="00EC538C"/>
    <w:rsid w:val="00ED3D71"/>
    <w:rsid w:val="00ED70A8"/>
    <w:rsid w:val="00ED7171"/>
    <w:rsid w:val="00ED7DD6"/>
    <w:rsid w:val="00EE1B40"/>
    <w:rsid w:val="00EE4332"/>
    <w:rsid w:val="00EE7DCB"/>
    <w:rsid w:val="00EF17DB"/>
    <w:rsid w:val="00EF2851"/>
    <w:rsid w:val="00F0634A"/>
    <w:rsid w:val="00F1019C"/>
    <w:rsid w:val="00F11F64"/>
    <w:rsid w:val="00F430A5"/>
    <w:rsid w:val="00F466E9"/>
    <w:rsid w:val="00F51EE1"/>
    <w:rsid w:val="00F52030"/>
    <w:rsid w:val="00F52BA9"/>
    <w:rsid w:val="00F54FD2"/>
    <w:rsid w:val="00F573A2"/>
    <w:rsid w:val="00F67916"/>
    <w:rsid w:val="00F70C85"/>
    <w:rsid w:val="00F75AD7"/>
    <w:rsid w:val="00F768A8"/>
    <w:rsid w:val="00F76F7D"/>
    <w:rsid w:val="00F92E4A"/>
    <w:rsid w:val="00FA0215"/>
    <w:rsid w:val="00FA0703"/>
    <w:rsid w:val="00FA3312"/>
    <w:rsid w:val="00FA74F4"/>
    <w:rsid w:val="00FB22D6"/>
    <w:rsid w:val="00FB2889"/>
    <w:rsid w:val="00FB4DF2"/>
    <w:rsid w:val="00FB4F7B"/>
    <w:rsid w:val="00FC0251"/>
    <w:rsid w:val="00FC0EA6"/>
    <w:rsid w:val="00FC4B11"/>
    <w:rsid w:val="00FE6877"/>
    <w:rsid w:val="00FF40BA"/>
    <w:rsid w:val="00FF413D"/>
    <w:rsid w:val="00FF5258"/>
    <w:rsid w:val="00FF610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20A3"/>
  <w15:chartTrackingRefBased/>
  <w15:docId w15:val="{2B813B94-8362-4784-B478-524C528F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595"/>
    <w:pPr>
      <w:spacing w:after="0" w:line="240" w:lineRule="auto"/>
    </w:pPr>
    <w:rPr>
      <w:rFonts w:ascii="Times New Roman" w:eastAsia="Times New Roman" w:hAnsi="Times New Roman" w:cs="Times New Roman"/>
      <w:kern w:val="0"/>
      <w:sz w:val="24"/>
      <w:szCs w:val="24"/>
      <w:lang w:val="es-ES_tradnl" w:eastAsia="es-ES"/>
      <w14:ligatures w14:val="none"/>
    </w:rPr>
  </w:style>
  <w:style w:type="paragraph" w:styleId="Heading1">
    <w:name w:val="heading 1"/>
    <w:basedOn w:val="Normal"/>
    <w:next w:val="Normal"/>
    <w:link w:val="Heading1Char"/>
    <w:uiPriority w:val="9"/>
    <w:qFormat/>
    <w:rsid w:val="008665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65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65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65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65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659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659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659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659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5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65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65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65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65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65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65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65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6595"/>
    <w:rPr>
      <w:rFonts w:eastAsiaTheme="majorEastAsia" w:cstheme="majorBidi"/>
      <w:color w:val="272727" w:themeColor="text1" w:themeTint="D8"/>
    </w:rPr>
  </w:style>
  <w:style w:type="paragraph" w:styleId="Title">
    <w:name w:val="Title"/>
    <w:basedOn w:val="Normal"/>
    <w:next w:val="Normal"/>
    <w:link w:val="TitleChar"/>
    <w:uiPriority w:val="10"/>
    <w:qFormat/>
    <w:rsid w:val="0086659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65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65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65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6595"/>
    <w:pPr>
      <w:spacing w:before="160"/>
      <w:jc w:val="center"/>
    </w:pPr>
    <w:rPr>
      <w:i/>
      <w:iCs/>
      <w:color w:val="404040" w:themeColor="text1" w:themeTint="BF"/>
    </w:rPr>
  </w:style>
  <w:style w:type="character" w:customStyle="1" w:styleId="QuoteChar">
    <w:name w:val="Quote Char"/>
    <w:basedOn w:val="DefaultParagraphFont"/>
    <w:link w:val="Quote"/>
    <w:uiPriority w:val="29"/>
    <w:rsid w:val="00866595"/>
    <w:rPr>
      <w:i/>
      <w:iCs/>
      <w:color w:val="404040" w:themeColor="text1" w:themeTint="BF"/>
    </w:rPr>
  </w:style>
  <w:style w:type="paragraph" w:styleId="ListParagraph">
    <w:name w:val="List Paragraph"/>
    <w:basedOn w:val="Normal"/>
    <w:uiPriority w:val="34"/>
    <w:qFormat/>
    <w:rsid w:val="00866595"/>
    <w:pPr>
      <w:ind w:left="720"/>
      <w:contextualSpacing/>
    </w:pPr>
  </w:style>
  <w:style w:type="character" w:styleId="IntenseEmphasis">
    <w:name w:val="Intense Emphasis"/>
    <w:basedOn w:val="DefaultParagraphFont"/>
    <w:uiPriority w:val="21"/>
    <w:qFormat/>
    <w:rsid w:val="00866595"/>
    <w:rPr>
      <w:i/>
      <w:iCs/>
      <w:color w:val="0F4761" w:themeColor="accent1" w:themeShade="BF"/>
    </w:rPr>
  </w:style>
  <w:style w:type="paragraph" w:styleId="IntenseQuote">
    <w:name w:val="Intense Quote"/>
    <w:basedOn w:val="Normal"/>
    <w:next w:val="Normal"/>
    <w:link w:val="IntenseQuoteChar"/>
    <w:uiPriority w:val="30"/>
    <w:qFormat/>
    <w:rsid w:val="008665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6595"/>
    <w:rPr>
      <w:i/>
      <w:iCs/>
      <w:color w:val="0F4761" w:themeColor="accent1" w:themeShade="BF"/>
    </w:rPr>
  </w:style>
  <w:style w:type="character" w:styleId="IntenseReference">
    <w:name w:val="Intense Reference"/>
    <w:basedOn w:val="DefaultParagraphFont"/>
    <w:uiPriority w:val="32"/>
    <w:qFormat/>
    <w:rsid w:val="00866595"/>
    <w:rPr>
      <w:b/>
      <w:bCs/>
      <w:smallCaps/>
      <w:color w:val="0F4761" w:themeColor="accent1" w:themeShade="BF"/>
      <w:spacing w:val="5"/>
    </w:rPr>
  </w:style>
  <w:style w:type="paragraph" w:customStyle="1" w:styleId="ecmsonormal">
    <w:name w:val="ec_msonormal"/>
    <w:basedOn w:val="Normal"/>
    <w:uiPriority w:val="99"/>
    <w:rsid w:val="00866595"/>
    <w:pPr>
      <w:spacing w:after="324"/>
    </w:pPr>
    <w:rPr>
      <w:rFonts w:ascii="Arial Unicode MS" w:eastAsia="Arial Unicode MS" w:hAnsi="Arial Unicode MS" w:cs="Arial Unicode MS"/>
      <w:lang w:val="es-ES"/>
    </w:rPr>
  </w:style>
  <w:style w:type="paragraph" w:styleId="Revision">
    <w:name w:val="Revision"/>
    <w:hidden/>
    <w:uiPriority w:val="99"/>
    <w:semiHidden/>
    <w:rsid w:val="00E05A5A"/>
    <w:pPr>
      <w:spacing w:after="0" w:line="240" w:lineRule="auto"/>
    </w:pPr>
    <w:rPr>
      <w:rFonts w:ascii="Times New Roman" w:eastAsia="Times New Roman" w:hAnsi="Times New Roman" w:cs="Times New Roman"/>
      <w:kern w:val="0"/>
      <w:sz w:val="24"/>
      <w:szCs w:val="24"/>
      <w:lang w:val="es-ES_tradnl" w:eastAsia="es-ES"/>
      <w14:ligatures w14:val="none"/>
    </w:rPr>
  </w:style>
  <w:style w:type="paragraph" w:styleId="NormalWeb">
    <w:name w:val="Normal (Web)"/>
    <w:basedOn w:val="Normal"/>
    <w:uiPriority w:val="99"/>
    <w:semiHidden/>
    <w:unhideWhenUsed/>
    <w:rsid w:val="00CE45B8"/>
    <w:pPr>
      <w:spacing w:before="100" w:beforeAutospacing="1" w:after="100" w:afterAutospacing="1"/>
    </w:pPr>
    <w:rPr>
      <w:lang w:val="es-AR"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93DBF7F1461BF4689433724BBB84FED" ma:contentTypeVersion="14" ma:contentTypeDescription="Crear nuevo documento." ma:contentTypeScope="" ma:versionID="289e281913b9e38b479c953d0e3496b6">
  <xsd:schema xmlns:xsd="http://www.w3.org/2001/XMLSchema" xmlns:xs="http://www.w3.org/2001/XMLSchema" xmlns:p="http://schemas.microsoft.com/office/2006/metadata/properties" xmlns:ns3="173dc0fa-cc77-432b-97ae-a59eae0364d1" targetNamespace="http://schemas.microsoft.com/office/2006/metadata/properties" ma:root="true" ma:fieldsID="0078e3e002ad2d4bae9a9679733a3902" ns3:_="">
    <xsd:import namespace="173dc0fa-cc77-432b-97ae-a59eae0364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3dc0fa-cc77-432b-97ae-a59eae036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73dc0fa-cc77-432b-97ae-a59eae0364d1" xsi:nil="true"/>
  </documentManagement>
</p:properties>
</file>

<file path=customXml/itemProps1.xml><?xml version="1.0" encoding="utf-8"?>
<ds:datastoreItem xmlns:ds="http://schemas.openxmlformats.org/officeDocument/2006/customXml" ds:itemID="{C20C3DB6-2EAF-4D7A-B7B8-238CF2491321}">
  <ds:schemaRefs>
    <ds:schemaRef ds:uri="http://schemas.microsoft.com/sharepoint/v3/contenttype/forms"/>
  </ds:schemaRefs>
</ds:datastoreItem>
</file>

<file path=customXml/itemProps2.xml><?xml version="1.0" encoding="utf-8"?>
<ds:datastoreItem xmlns:ds="http://schemas.openxmlformats.org/officeDocument/2006/customXml" ds:itemID="{7DCDB867-4EBA-42DE-81E1-2D9635DB0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3dc0fa-cc77-432b-97ae-a59eae036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AF70F-4172-41BA-BF5A-D7E16B0B8174}">
  <ds:schemaRefs>
    <ds:schemaRef ds:uri="http://schemas.microsoft.com/office/2006/metadata/properties"/>
    <ds:schemaRef ds:uri="http://schemas.microsoft.com/office/infopath/2007/PartnerControls"/>
    <ds:schemaRef ds:uri="173dc0fa-cc77-432b-97ae-a59eae0364d1"/>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1875</Words>
  <Characters>10314</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Borrego</dc:creator>
  <cp:keywords/>
  <dc:description/>
  <cp:lastModifiedBy>Gustavo Grinberg</cp:lastModifiedBy>
  <cp:revision>25</cp:revision>
  <dcterms:created xsi:type="dcterms:W3CDTF">2026-08-14T19:40:00Z</dcterms:created>
  <dcterms:modified xsi:type="dcterms:W3CDTF">2026-08-14T20:16:00Z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0x010100093DBF7F1461BF4689433724BBB84FED</vt:lpwstr>
  </property>
</Properties>
</file>